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e25de078b92d269149841b3fba1d262ebfd8a9"/>
      <w:r>
        <w:t xml:space="preserve">VT0021005 Consumer Confidence Report Certificate of Delivery 2025</w:t>
      </w:r>
      <w:bookmarkEnd w:id="20"/>
    </w:p>
    <w:p>
      <w:pPr>
        <w:pStyle w:val="Heading6"/>
      </w:pPr>
      <w:bookmarkStart w:id="21" w:name="sundance-subdivision"/>
      <w:r>
        <w:t xml:space="preserve">SUNDANCE SUBDIVISION</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undance-subdivision---vt0021005"/>
      <w:r>
        <w:t xml:space="preserve">SUNDANCE SUBDIVISION - VT0021005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a4deeee42e4622532ee5d8f4d3eeb73364cff95"/>
      <w:r>
        <w:t xml:space="preserve">Detected Contaminants SUNDANCE SUBDIVISION</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0.311</w:t>
            </w:r>
          </w:p>
        </w:tc>
        <w:tc>
          <w:p>
            <w:pPr>
              <w:pStyle w:val="Compact"/>
              <w:jc w:val="left"/>
            </w:pPr>
            <w:r>
              <w:t xml:space="preserve">0.010 - 0.650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11/11/2024</w:t>
            </w:r>
          </w:p>
        </w:tc>
        <w:tc>
          <w:p>
            <w:pPr>
              <w:pStyle w:val="Compact"/>
              <w:jc w:val="left"/>
            </w:pPr>
            <w:r>
              <w:t xml:space="preserve">0.16</w:t>
            </w:r>
          </w:p>
        </w:tc>
        <w:tc>
          <w:p>
            <w:pPr>
              <w:pStyle w:val="Compact"/>
              <w:jc w:val="left"/>
            </w:pPr>
            <w:r>
              <w:t xml:space="preserve">0.16 - 0.16</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11/17/2025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08/19/2024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05/20/2024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05/20/2024</w:t>
            </w:r>
          </w:p>
        </w:tc>
        <w:tc>
          <w:p>
            <w:pPr>
              <w:pStyle w:val="Compact"/>
              <w:jc w:val="left"/>
            </w:pPr>
            <w:r>
              <w:t xml:space="preserve">1.2</w:t>
            </w:r>
          </w:p>
        </w:tc>
        <w:tc>
          <w:p>
            <w:pPr>
              <w:pStyle w:val="Compact"/>
              <w:jc w:val="left"/>
            </w:pPr>
            <w:r>
              <w:t xml:space="preserve">0.4 - 1.2</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Combined Uranium</w:t>
            </w:r>
          </w:p>
        </w:tc>
        <w:tc>
          <w:p>
            <w:pPr>
              <w:pStyle w:val="Compact"/>
              <w:jc w:val="left"/>
            </w:pPr>
            <w:r>
              <w:t xml:space="preserve">03/10/2025</w:t>
            </w:r>
          </w:p>
        </w:tc>
        <w:tc>
          <w:p>
            <w:pPr>
              <w:pStyle w:val="Compact"/>
              <w:jc w:val="left"/>
            </w:pPr>
            <w:r>
              <w:t xml:space="preserve">11.7</w:t>
            </w:r>
          </w:p>
        </w:tc>
        <w:tc>
          <w:p>
            <w:pPr>
              <w:pStyle w:val="Compact"/>
              <w:jc w:val="left"/>
            </w:pPr>
            <w:r>
              <w:t xml:space="preserve">11.7 - 11.7</w:t>
            </w:r>
          </w:p>
        </w:tc>
        <w:tc>
          <w:p>
            <w:pPr>
              <w:pStyle w:val="Compact"/>
              <w:jc w:val="left"/>
            </w:pPr>
            <w:r>
              <w:t xml:space="preserve">µg/L</w:t>
            </w:r>
          </w:p>
        </w:tc>
        <w:tc>
          <w:p>
            <w:pPr>
              <w:pStyle w:val="Compact"/>
              <w:jc w:val="left"/>
            </w:pPr>
            <w:r>
              <w:t xml:space="preserve">20</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(Adjusted)</w:t>
            </w:r>
          </w:p>
        </w:tc>
        <w:tc>
          <w:p>
            <w:pPr>
              <w:pStyle w:val="Compact"/>
              <w:jc w:val="left"/>
            </w:pPr>
            <w:r>
              <w:t xml:space="preserve">03/10/2025</w:t>
            </w:r>
          </w:p>
        </w:tc>
        <w:tc>
          <w:p>
            <w:pPr>
              <w:pStyle w:val="Compact"/>
              <w:jc w:val="left"/>
            </w:pPr>
            <w:r>
              <w:t xml:space="preserve">6.46</w:t>
            </w:r>
          </w:p>
        </w:tc>
        <w:tc>
          <w:p>
            <w:pPr>
              <w:pStyle w:val="Compact"/>
              <w:jc w:val="left"/>
            </w:pPr>
            <w:r>
              <w:t xml:space="preserve">6.46 - 6.46</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03/10/2025</w:t>
            </w:r>
          </w:p>
        </w:tc>
        <w:tc>
          <w:p>
            <w:pPr>
              <w:pStyle w:val="Compact"/>
              <w:jc w:val="left"/>
            </w:pPr>
            <w:r>
              <w:t xml:space="preserve">14.3</w:t>
            </w:r>
          </w:p>
        </w:tc>
        <w:tc>
          <w:p>
            <w:pPr>
              <w:pStyle w:val="Compact"/>
              <w:jc w:val="left"/>
            </w:pPr>
            <w:r>
              <w:t xml:space="preserve">14.3 - 14.3</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11/11/2024</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05/20/2024</w:t>
            </w:r>
          </w:p>
        </w:tc>
        <w:tc>
          <w:p>
            <w:pPr>
              <w:pStyle w:val="Compact"/>
              <w:jc w:val="left"/>
            </w:pPr>
            <w:r>
              <w:t xml:space="preserve">0.8</w:t>
            </w:r>
          </w:p>
        </w:tc>
        <w:tc>
          <w:p>
            <w:pPr>
              <w:pStyle w:val="Compact"/>
              <w:jc w:val="left"/>
            </w:pPr>
            <w:r>
              <w:t xml:space="preserve">0.8 - 0.8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LOT 25</w:t>
            </w:r>
          </w:p>
        </w:tc>
        <w:tc>
          <w:p>
            <w:pPr>
              <w:pStyle w:val="Compact"/>
              <w:jc w:val="left"/>
            </w:pPr>
            <w:r>
              <w:t xml:space="preserve">14</w:t>
            </w:r>
          </w:p>
        </w:tc>
        <w:tc>
          <w:p>
            <w:pPr>
              <w:pStyle w:val="Compact"/>
              <w:jc w:val="left"/>
            </w:pPr>
            <w:r>
              <w:t xml:space="preserve">14 - 14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08/18/2025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08/18/2025</w:t>
            </w:r>
          </w:p>
        </w:tc>
        <w:tc>
          <w:p>
            <w:pPr>
              <w:pStyle w:val="Compact"/>
              <w:jc w:val="left"/>
            </w:pPr>
            <w:r>
              <w:t xml:space="preserve">0.12</w:t>
            </w:r>
          </w:p>
        </w:tc>
        <w:tc>
          <w:p>
            <w:pPr>
              <w:pStyle w:val="Compact"/>
              <w:jc w:val="left"/>
            </w:pPr>
            <w:r>
              <w:t xml:space="preserve">0 - 0.2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STATE MONITORING/REPORTING VIOLATION</w:t>
            </w:r>
          </w:p>
        </w:tc>
        <w:tc>
          <w:p>
            <w:pPr>
              <w:pStyle w:val="Compact"/>
              <w:jc w:val="left"/>
            </w:pPr>
            <w:r>
              <w:t xml:space="preserve">Failure to Monitor</w:t>
            </w:r>
          </w:p>
        </w:tc>
        <w:tc>
          <w:p>
            <w:pPr>
              <w:pStyle w:val="Compact"/>
              <w:jc w:val="left"/>
            </w:pPr>
            <w:r>
              <w:t xml:space="preserve">Sum of 5 Regulated PFAS</w:t>
            </w:r>
          </w:p>
        </w:tc>
        <w:tc>
          <w:p>
            <w:pPr>
              <w:pStyle w:val="Compact"/>
              <w:jc w:val="left"/>
            </w:pPr>
            <w:r>
              <w:t xml:space="preserve">07/01/2025 - 09/30/2025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SUNDANCE SUBDIVISION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SUNDANCE SUBDIVISION.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PFAS is a group of chemicals that may affect different systems in the body. Although more research is needed, some studies in people have shown that these chemicals may affect growth, learning, and behavior in babies and children; lower a women’s chance of getting pregnant; interfere with the body’s natural hormones; increase cholesterol levels; affect the immune system; and increase the risk of cancer.</w:t>
      </w:r>
      <w:r>
        <w:br/>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2026-03-10T14:21:37Z</dcterms:created>
  <dcterms:modified xsi:type="dcterms:W3CDTF">2026-03-10T14:21:37Z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