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f8c0bf01cc750282c92f36df5ffc8f4eb309bc"/>
      <w:r>
        <w:t xml:space="preserve">VT0020855 Consumer Confidence Report Certificate of Delivery 2024</w:t>
      </w:r>
      <w:bookmarkEnd w:id="20"/>
    </w:p>
    <w:p>
      <w:pPr>
        <w:pStyle w:val="Heading6"/>
      </w:pPr>
      <w:bookmarkStart w:id="21" w:name="colonial-estates-homeowners-assn"/>
      <w:r>
        <w:t xml:space="preserve">COLONIAL ESTATES HOMEOWNERS ASSN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51eee593a3a049c8bd6ffb4651e5b619a661b65"/>
      <w:r>
        <w:t xml:space="preserve">COLONIAL ESTATES HOMEOWNERS ASSN - VT0020855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REPLACEMENT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2054044208fb1ebfbfa602ca54ec1f69c23fd5"/>
      <w:r>
        <w:t xml:space="preserve">Detected Contaminants COLONIAL ESTATES HOMEOWNERS ASSN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0.393</w:t>
            </w:r>
          </w:p>
        </w:tc>
        <w:tc>
          <w:p>
            <w:pPr>
              <w:pStyle w:val="Compact"/>
              <w:jc w:val="left"/>
            </w:pPr>
            <w:r>
              <w:t xml:space="preserve">0.310 - 0.500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03/30/2022</w:t>
            </w:r>
          </w:p>
        </w:tc>
        <w:tc>
          <w:p>
            <w:pPr>
              <w:pStyle w:val="Compact"/>
              <w:jc w:val="left"/>
            </w:pPr>
            <w:r>
              <w:t xml:space="preserve">0.16</w:t>
            </w:r>
          </w:p>
        </w:tc>
        <w:tc>
          <w:p>
            <w:pPr>
              <w:pStyle w:val="Compact"/>
              <w:jc w:val="left"/>
            </w:pPr>
            <w:r>
              <w:t xml:space="preserve">0.16 - 0.16</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02/26/2020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BUILDING #43, UNIT 106</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09/30/2023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09/30/2023</w:t>
            </w:r>
          </w:p>
        </w:tc>
        <w:tc>
          <w:p>
            <w:pPr>
              <w:pStyle w:val="Compact"/>
              <w:jc w:val="left"/>
            </w:pPr>
            <w:r>
              <w:t xml:space="preserve">0.015</w:t>
            </w:r>
          </w:p>
        </w:tc>
        <w:tc>
          <w:p>
            <w:pPr>
              <w:pStyle w:val="Compact"/>
              <w:jc w:val="left"/>
            </w:pPr>
            <w:r>
              <w:t xml:space="preserve">0 - 0.029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COLONIAL ESTATES HOMEOWNERS ASSN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COLONIAL ESTATES HOMEOWNERS ASSN.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2025-03-18T14:10:18Z</dcterms:created>
  <dcterms:modified xsi:type="dcterms:W3CDTF">2025-03-18T14:10:18Z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