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87ba115a0b5af7bed22bc5571a56d09baef146"/>
      <w:r>
        <w:t xml:space="preserve">VT0020760 Consumer Confidence Report Certificate of Delivery 2023</w:t>
      </w:r>
      <w:bookmarkEnd w:id="20"/>
    </w:p>
    <w:p>
      <w:pPr>
        <w:pStyle w:val="Heading6"/>
      </w:pPr>
      <w:bookmarkStart w:id="21" w:name="east-mountain-mhp"/>
      <w:r>
        <w:t xml:space="preserve">EAST MOUNTAIN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ast-mountain-mhp---vt0020760"/>
      <w:r>
        <w:t xml:space="preserve">EAST MOUNTAIN MHP - VT0020760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BENNINGTON WATER DEPT. CONNECTION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east-mountain-mhp"/>
      <w:r>
        <w:t xml:space="preserve">Detected Contaminants EAST MOUNTAIN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w:t>
            </w:r>
          </w:p>
        </w:tc>
        <w:tc>
          <w:p>
            <w:pPr>
              <w:pStyle w:val="Compact"/>
              <w:jc w:val="left"/>
            </w:pPr>
            <w:r>
              <w:t xml:space="preserve">0.500 - 0.500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36</w:t>
            </w:r>
          </w:p>
        </w:tc>
        <w:tc>
          <w:p>
            <w:pPr>
              <w:pStyle w:val="Compact"/>
              <w:jc w:val="left"/>
            </w:pPr>
            <w:r>
              <w:t xml:space="preserve">36 - 36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31</w:t>
            </w:r>
          </w:p>
        </w:tc>
        <w:tc>
          <w:p>
            <w:pPr>
              <w:pStyle w:val="Compact"/>
              <w:jc w:val="left"/>
            </w:pPr>
            <w:r>
              <w:t xml:space="preserve">31 - 31</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09/05/2023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09/05/2023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03/21/2023 - 03/28/2023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03/21/2023 - 03/28/2023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 MOUNTAIN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05/15/2023</w:t>
            </w:r>
          </w:p>
        </w:tc>
        <w:tc>
          <w:p>
            <w:pPr>
              <w:pStyle w:val="Compact"/>
              <w:jc w:val="left"/>
            </w:pPr>
            <w:r>
              <w:t xml:space="preserve">No Permit to Operate</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2024-03-22T18:01:16Z</dcterms:created>
  <dcterms:modified xsi:type="dcterms:W3CDTF">2024-03-22T18:01:16Z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