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ab263a122b9d6308eeda0d0af251f9de2574264"/>
      <w:r>
        <w:t xml:space="preserve">VT0005655 Consumer Confidence Report Certificate of Delivery 2025</w:t>
      </w:r>
      <w:bookmarkEnd w:id="20"/>
    </w:p>
    <w:p>
      <w:pPr>
        <w:pStyle w:val="Heading6"/>
      </w:pPr>
      <w:bookmarkStart w:id="21" w:name="holbrook-bay-commons"/>
      <w:r>
        <w:t xml:space="preserve">HOLBROOK BAY COMMONS</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holbrook-bay-commons---vt0005655"/>
      <w:r>
        <w:t xml:space="preserve">HOLBROOK BAY COMMONS - VT0005655</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HOLBROOK 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c3e516c397983fff1979cccf11fcc84c0cdc08c"/>
      <w:r>
        <w:t xml:space="preserve">Detected Contaminants HOLBROOK BAY COMMONS</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0.219</w:t>
            </w:r>
          </w:p>
        </w:tc>
        <w:tc>
          <w:p>
            <w:pPr>
              <w:pStyle w:val="Compact"/>
              <w:jc w:val="left"/>
            </w:pPr>
            <w:r>
              <w:t xml:space="preserve">0.100 - 0.420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Arsenic</w:t>
            </w:r>
          </w:p>
        </w:tc>
        <w:tc>
          <w:p>
            <w:pPr>
              <w:pStyle w:val="Compact"/>
              <w:jc w:val="left"/>
            </w:pPr>
            <w:r>
              <w:t xml:space="preserve">03/30/2021</w:t>
            </w:r>
          </w:p>
        </w:tc>
        <w:tc>
          <w:p>
            <w:pPr>
              <w:pStyle w:val="Compact"/>
              <w:jc w:val="left"/>
            </w:pPr>
            <w:r>
              <w:t xml:space="preserve">1.5</w:t>
            </w:r>
          </w:p>
        </w:tc>
        <w:tc>
          <w:p>
            <w:pPr>
              <w:pStyle w:val="Compact"/>
              <w:jc w:val="left"/>
            </w:pPr>
            <w:r>
              <w:t xml:space="preserve">1.5 - 1.5</w:t>
            </w:r>
          </w:p>
        </w:tc>
        <w:tc>
          <w:p>
            <w:pPr>
              <w:pStyle w:val="Compact"/>
              <w:jc w:val="left"/>
            </w:pPr>
            <w:r>
              <w:t xml:space="preserve">ppb</w:t>
            </w:r>
          </w:p>
        </w:tc>
        <w:tc>
          <w:p>
            <w:pPr>
              <w:pStyle w:val="Compact"/>
              <w:jc w:val="left"/>
            </w:pPr>
            <w:r>
              <w:t xml:space="preserve">10</w:t>
            </w:r>
          </w:p>
        </w:tc>
        <w:tc>
          <w:p>
            <w:pPr>
              <w:pStyle w:val="Compact"/>
              <w:jc w:val="left"/>
            </w:pPr>
            <w:r>
              <w:t xml:space="preserve">0</w:t>
            </w:r>
          </w:p>
        </w:tc>
        <w:tc>
          <w:p>
            <w:pPr>
              <w:pStyle w:val="Compact"/>
              <w:jc w:val="left"/>
            </w:pPr>
            <w:r>
              <w:t xml:space="preserve">Erosion of natural deposits; Runoff from orchards; Runoff from glass and electronics production wastes.</w:t>
            </w:r>
          </w:p>
        </w:tc>
      </w:tr>
      <w:tr>
        <w:tc>
          <w:p>
            <w:pPr>
              <w:pStyle w:val="Compact"/>
              <w:jc w:val="left"/>
            </w:pPr>
            <w:r>
              <w:t xml:space="preserve">Fluoride</w:t>
            </w:r>
          </w:p>
        </w:tc>
        <w:tc>
          <w:p>
            <w:pPr>
              <w:pStyle w:val="Compact"/>
              <w:jc w:val="left"/>
            </w:pPr>
            <w:r>
              <w:t xml:space="preserve">03/30/2021</w:t>
            </w:r>
          </w:p>
        </w:tc>
        <w:tc>
          <w:p>
            <w:pPr>
              <w:pStyle w:val="Compact"/>
              <w:jc w:val="left"/>
            </w:pPr>
            <w:r>
              <w:t xml:space="preserve">0.16</w:t>
            </w:r>
          </w:p>
        </w:tc>
        <w:tc>
          <w:p>
            <w:pPr>
              <w:pStyle w:val="Compact"/>
              <w:jc w:val="left"/>
            </w:pPr>
            <w:r>
              <w:t xml:space="preserve">0.16 - 0.16</w:t>
            </w:r>
          </w:p>
        </w:tc>
        <w:tc>
          <w:p>
            <w:pPr>
              <w:pStyle w:val="Compact"/>
              <w:jc w:val="left"/>
            </w:pPr>
            <w:r>
              <w:t xml:space="preserve">ppm</w:t>
            </w:r>
          </w:p>
        </w:tc>
        <w:tc>
          <w:p>
            <w:pPr>
              <w:pStyle w:val="Compact"/>
              <w:jc w:val="left"/>
            </w:pPr>
            <w:r>
              <w:t xml:space="preserve">4</w:t>
            </w:r>
          </w:p>
        </w:tc>
        <w:tc>
          <w:p>
            <w:pPr>
              <w:pStyle w:val="Compact"/>
              <w:jc w:val="left"/>
            </w:pPr>
            <w:r>
              <w:t xml:space="preserve">4</w:t>
            </w:r>
          </w:p>
        </w:tc>
        <w:tc>
          <w:p>
            <w:pPr>
              <w:pStyle w:val="Compact"/>
              <w:jc w:val="left"/>
            </w:pPr>
            <w:r>
              <w:t xml:space="preserve">Erosion of natural deposits;  Water additive which promotes strong teeth; Discharge from fertilizer and aluminum factories</w:t>
            </w:r>
          </w:p>
        </w:tc>
      </w:tr>
      <w:tr>
        <w:tc>
          <w:p>
            <w:pPr>
              <w:pStyle w:val="Compact"/>
              <w:jc w:val="left"/>
            </w:pPr>
            <w:r>
              <w:t xml:space="preserve">Iron</w:t>
            </w:r>
          </w:p>
        </w:tc>
        <w:tc>
          <w:p>
            <w:pPr>
              <w:pStyle w:val="Compact"/>
              <w:jc w:val="left"/>
            </w:pPr>
            <w:r>
              <w:t xml:space="preserve">01/18/2024</w:t>
            </w:r>
          </w:p>
        </w:tc>
        <w:tc>
          <w:p>
            <w:pPr>
              <w:pStyle w:val="Compact"/>
              <w:jc w:val="left"/>
            </w:pPr>
            <w:r>
              <w:t xml:space="preserve">0.071</w:t>
            </w:r>
          </w:p>
        </w:tc>
        <w:tc>
          <w:p>
            <w:pPr>
              <w:pStyle w:val="Compact"/>
              <w:jc w:val="left"/>
            </w:pPr>
            <w:r>
              <w:t xml:space="preserve">0.071 - 0.071</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Manganese</w:t>
            </w:r>
          </w:p>
        </w:tc>
        <w:tc>
          <w:p>
            <w:pPr>
              <w:pStyle w:val="Compact"/>
              <w:jc w:val="left"/>
            </w:pPr>
            <w:r>
              <w:t xml:space="preserve">01/18/2024</w:t>
            </w:r>
          </w:p>
        </w:tc>
        <w:tc>
          <w:p>
            <w:pPr>
              <w:pStyle w:val="Compact"/>
              <w:jc w:val="left"/>
            </w:pPr>
            <w:r>
              <w:t xml:space="preserve">59</w:t>
            </w:r>
          </w:p>
        </w:tc>
        <w:tc>
          <w:p>
            <w:pPr>
              <w:pStyle w:val="Compact"/>
              <w:jc w:val="left"/>
            </w:pPr>
            <w:r>
              <w:t xml:space="preserve">59 - 59</w:t>
            </w:r>
          </w:p>
        </w:tc>
        <w:tc>
          <w:p>
            <w:pPr>
              <w:pStyle w:val="Compact"/>
              <w:jc w:val="left"/>
            </w:pPr>
            <w:r>
              <w:t xml:space="preserve">ppb</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 Vermont Department of Health has established a Health Advisory of 300 ppb. Manganese equal to or greater than 50 ppb can lead to unacceptable taste or staining of fixtures.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06/29/2023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03/29/2023</w:t>
            </w:r>
          </w:p>
        </w:tc>
        <w:tc>
          <w:p>
            <w:pPr>
              <w:pStyle w:val="Compact"/>
              <w:jc w:val="left"/>
            </w:pPr>
            <w:r>
              <w:t xml:space="preserve">0.9</w:t>
            </w:r>
          </w:p>
        </w:tc>
        <w:tc>
          <w:p>
            <w:pPr>
              <w:pStyle w:val="Compact"/>
              <w:jc w:val="left"/>
            </w:pPr>
            <w:r>
              <w:t xml:space="preserve">0.9 - 0.9</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Particle Activity*</w:t>
            </w:r>
          </w:p>
        </w:tc>
        <w:tc>
          <w:p>
            <w:pPr>
              <w:pStyle w:val="Compact"/>
              <w:jc w:val="left"/>
            </w:pPr>
            <w:r>
              <w:t xml:space="preserve">03/29/2023</w:t>
            </w:r>
          </w:p>
        </w:tc>
        <w:tc>
          <w:p>
            <w:pPr>
              <w:pStyle w:val="Compact"/>
              <w:jc w:val="left"/>
            </w:pPr>
            <w:r>
              <w:t xml:space="preserve">5.7</w:t>
            </w:r>
          </w:p>
        </w:tc>
        <w:tc>
          <w:p>
            <w:pPr>
              <w:pStyle w:val="Compact"/>
              <w:jc w:val="left"/>
            </w:pPr>
            <w:r>
              <w:t xml:space="preserve">5.7 - 5.7</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Radium-228</w:t>
            </w:r>
          </w:p>
        </w:tc>
        <w:tc>
          <w:p>
            <w:pPr>
              <w:pStyle w:val="Compact"/>
              <w:jc w:val="left"/>
            </w:pPr>
            <w:r>
              <w:t xml:space="preserve">03/29/2023</w:t>
            </w:r>
          </w:p>
        </w:tc>
        <w:tc>
          <w:p>
            <w:pPr>
              <w:pStyle w:val="Compact"/>
              <w:jc w:val="left"/>
            </w:pPr>
            <w:r>
              <w:t xml:space="preserve">0.9</w:t>
            </w:r>
          </w:p>
        </w:tc>
        <w:tc>
          <w:p>
            <w:pPr>
              <w:pStyle w:val="Compact"/>
              <w:jc w:val="left"/>
            </w:pPr>
            <w:r>
              <w:t xml:space="preserve">0.9 - 0.9</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09/26/2025</w:t>
            </w:r>
          </w:p>
        </w:tc>
        <w:tc>
          <w:p>
            <w:pPr>
              <w:pStyle w:val="Compact"/>
              <w:jc w:val="left"/>
            </w:pPr>
            <w:r>
              <w:t xml:space="preserve">4.9</w:t>
            </w:r>
          </w:p>
        </w:tc>
        <w:tc>
          <w:p>
            <w:pPr>
              <w:pStyle w:val="Compact"/>
              <w:jc w:val="left"/>
            </w:pPr>
            <w:r>
              <w:t xml:space="preserve">0 - 6.9</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09/26/2025</w:t>
            </w:r>
          </w:p>
        </w:tc>
        <w:tc>
          <w:p>
            <w:pPr>
              <w:pStyle w:val="Compact"/>
              <w:jc w:val="left"/>
            </w:pPr>
            <w:r>
              <w:t xml:space="preserve">0.15</w:t>
            </w:r>
          </w:p>
        </w:tc>
        <w:tc>
          <w:p>
            <w:pPr>
              <w:pStyle w:val="Compact"/>
              <w:jc w:val="left"/>
            </w:pPr>
            <w:r>
              <w:t xml:space="preserve">0.069 - 0.16</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CCR REPORT</w:t>
            </w:r>
          </w:p>
        </w:tc>
        <w:tc>
          <w:p>
            <w:pPr>
              <w:pStyle w:val="Compact"/>
              <w:jc w:val="left"/>
            </w:pPr>
            <w:r>
              <w:t xml:space="preserve">Failure to Report</w:t>
            </w:r>
          </w:p>
        </w:tc>
        <w:tc>
          <w:p>
            <w:pPr>
              <w:pStyle w:val="Compact"/>
              <w:jc w:val="left"/>
            </w:pPr>
            <w:r>
              <w:t xml:space="preserve">CONSUMER CONFIDENCE RULE</w:t>
            </w:r>
          </w:p>
        </w:tc>
        <w:tc>
          <w:p>
            <w:pPr>
              <w:pStyle w:val="Compact"/>
              <w:jc w:val="left"/>
            </w:pPr>
            <w:r>
              <w:t xml:space="preserve">07/01/2025 - 08/21/2025</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HOLBROOK BAY COMMONS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HOLBROOK BAY COMMONS.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2026-03-10T14:12:24Z</dcterms:created>
  <dcterms:modified xsi:type="dcterms:W3CDTF">2026-03-10T14:12:24Z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