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4dcbee5dfcfad733d80f0cec326a36798ecfa6"/>
      <w:r>
        <w:t xml:space="preserve">VT0005471 Consumer Confidence Report Certificate of Delivery 2024</w:t>
      </w:r>
      <w:bookmarkEnd w:id="20"/>
    </w:p>
    <w:p>
      <w:pPr>
        <w:pStyle w:val="Heading6"/>
      </w:pPr>
      <w:bookmarkStart w:id="21" w:name="gore-road-mhp"/>
      <w:r>
        <w:t xml:space="preserve">GORE ROAD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ore-road-mhp---vt0005471"/>
      <w:r>
        <w:t xml:space="preserve">GORE ROAD MHP - VT0005471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BENNINGTON WATER DEPT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gore-road-mhp"/>
      <w:r>
        <w:t xml:space="preserve">Detected Contaminants GORE ROAD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0.625</w:t>
            </w:r>
          </w:p>
        </w:tc>
        <w:tc>
          <w:p>
            <w:pPr>
              <w:pStyle w:val="Compact"/>
              <w:jc w:val="left"/>
            </w:pPr>
            <w:r>
              <w:t xml:space="preserve">0.400 - 0.900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321 GORE RD</w:t>
            </w:r>
          </w:p>
        </w:tc>
        <w:tc>
          <w:p>
            <w:pPr>
              <w:pStyle w:val="Compact"/>
              <w:jc w:val="left"/>
            </w:pPr>
            <w:r>
              <w:t xml:space="preserve">79</w:t>
            </w:r>
          </w:p>
        </w:tc>
        <w:tc>
          <w:p>
            <w:pPr>
              <w:pStyle w:val="Compact"/>
              <w:jc w:val="left"/>
            </w:pPr>
            <w:r>
              <w:t xml:space="preserve">46 - 77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321 GORE RD</w:t>
            </w:r>
          </w:p>
        </w:tc>
        <w:tc>
          <w:p>
            <w:pPr>
              <w:pStyle w:val="Compact"/>
              <w:jc w:val="left"/>
            </w:pPr>
            <w:r>
              <w:t xml:space="preserve">67</w:t>
            </w:r>
          </w:p>
        </w:tc>
        <w:tc>
          <w:p>
            <w:pPr>
              <w:pStyle w:val="Compact"/>
              <w:jc w:val="left"/>
            </w:pPr>
            <w:r>
              <w:t xml:space="preserve">42 - 53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06/15/2023 - 06/16/2023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06/15/2023 - 06/16/2023</w:t>
            </w:r>
          </w:p>
        </w:tc>
        <w:tc>
          <w:p>
            <w:pPr>
              <w:pStyle w:val="Compact"/>
              <w:jc w:val="left"/>
            </w:pPr>
            <w:r>
              <w:t xml:space="preserve">0.038</w:t>
            </w:r>
          </w:p>
        </w:tc>
        <w:tc>
          <w:p>
            <w:pPr>
              <w:pStyle w:val="Compact"/>
              <w:jc w:val="left"/>
            </w:pPr>
            <w:r>
              <w:t xml:space="preserve">0 - 0.052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MCL, AVERAGE</w:t>
            </w:r>
          </w:p>
        </w:tc>
        <w:tc>
          <w:p>
            <w:pPr>
              <w:pStyle w:val="Compact"/>
              <w:jc w:val="left"/>
            </w:pPr>
            <w:r>
              <w:t xml:space="preserve">Maximum Contaminant Level Violation</w:t>
            </w:r>
          </w:p>
        </w:tc>
        <w:tc>
          <w:p>
            <w:pPr>
              <w:pStyle w:val="Compact"/>
              <w:jc w:val="left"/>
            </w:pPr>
            <w:r>
              <w:t xml:space="preserve">TOTAL HALOACETIC ACIDS (HAA5)</w:t>
            </w:r>
          </w:p>
        </w:tc>
        <w:tc>
          <w:p>
            <w:pPr>
              <w:pStyle w:val="Compact"/>
              <w:jc w:val="left"/>
            </w:pPr>
            <w:r>
              <w:t xml:space="preserve">01/01/2024 - 03/31/2024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GORE ROAD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GORE ROAD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Some people who drink water containing haloacetic acids in excess of the MCL over many years may have an increased risk of getting cancer. In animal studies, some haloacetic acids have been associated with reproductive or developmental effects.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2025-03-18T12:43:38Z</dcterms:created>
  <dcterms:modified xsi:type="dcterms:W3CDTF">2025-03-18T12:43:38Z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