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6c032ebca4cd0094551d989c669fd3ef71c4b10"/>
      <w:r>
        <w:t xml:space="preserve">VT0005404 Consumer Confidence Report Certificate of Delivery 2024</w:t>
      </w:r>
      <w:bookmarkEnd w:id="20"/>
    </w:p>
    <w:p>
      <w:pPr>
        <w:pStyle w:val="Heading6"/>
      </w:pPr>
      <w:bookmarkStart w:id="21" w:name="woodside-manor"/>
      <w:r>
        <w:t xml:space="preserve">WOODSIDE MANOR</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woodside-manor---vt0005404"/>
      <w:r>
        <w:t xml:space="preserve">WOODSIDE MANOR - VT0005404</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SUB-SYSTEM 1 WELL (OLD WELL)</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woodside-manor"/>
      <w:r>
        <w:t xml:space="preserve">Detected Contaminants WOODSIDE MANOR</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Iron</w:t>
            </w:r>
          </w:p>
        </w:tc>
        <w:tc>
          <w:p>
            <w:pPr>
              <w:pStyle w:val="Compact"/>
              <w:jc w:val="left"/>
            </w:pPr>
            <w:r>
              <w:t xml:space="preserve">08/29/2023</w:t>
            </w:r>
          </w:p>
        </w:tc>
        <w:tc>
          <w:p>
            <w:pPr>
              <w:pStyle w:val="Compact"/>
              <w:jc w:val="left"/>
            </w:pPr>
            <w:r>
              <w:t xml:space="preserve">1</w:t>
            </w:r>
          </w:p>
        </w:tc>
        <w:tc>
          <w:p>
            <w:pPr>
              <w:pStyle w:val="Compact"/>
              <w:jc w:val="left"/>
            </w:pPr>
            <w:r>
              <w:t xml:space="preserve">1 - 1</w:t>
            </w:r>
          </w:p>
        </w:tc>
        <w:tc>
          <w:p>
            <w:pPr>
              <w:pStyle w:val="Compact"/>
              <w:jc w:val="left"/>
            </w:pPr>
            <w:r>
              <w:t xml:space="preserve">ppm</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w:t>
            </w:r>
          </w:p>
        </w:tc>
      </w:tr>
      <w:tr>
        <w:tc>
          <w:p>
            <w:pPr>
              <w:pStyle w:val="Compact"/>
              <w:jc w:val="left"/>
            </w:pPr>
            <w:r>
              <w:t xml:space="preserve">Manganese</w:t>
            </w:r>
          </w:p>
        </w:tc>
        <w:tc>
          <w:p>
            <w:pPr>
              <w:pStyle w:val="Compact"/>
              <w:jc w:val="left"/>
            </w:pPr>
            <w:r>
              <w:t xml:space="preserve">08/29/2023</w:t>
            </w:r>
          </w:p>
        </w:tc>
        <w:tc>
          <w:p>
            <w:pPr>
              <w:pStyle w:val="Compact"/>
              <w:jc w:val="left"/>
            </w:pPr>
            <w:r>
              <w:t xml:space="preserve">32</w:t>
            </w:r>
          </w:p>
        </w:tc>
        <w:tc>
          <w:p>
            <w:pPr>
              <w:pStyle w:val="Compact"/>
              <w:jc w:val="left"/>
            </w:pPr>
            <w:r>
              <w:t xml:space="preserve">32 - 32</w:t>
            </w:r>
          </w:p>
        </w:tc>
        <w:tc>
          <w:p>
            <w:pPr>
              <w:pStyle w:val="Compact"/>
              <w:jc w:val="left"/>
            </w:pPr>
            <w:r>
              <w:t xml:space="preserve">ppb</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 Vermont Department of Health has established a Health Advisory of 300 ppb. Manganese equal to or greater than 50 ppb can lead to unacceptable taste or staining of fixtures.</w:t>
            </w:r>
          </w:p>
        </w:tc>
      </w:tr>
      <w:tr>
        <w:tc>
          <w:p>
            <w:pPr>
              <w:pStyle w:val="Compact"/>
              <w:jc w:val="left"/>
            </w:pPr>
            <w:r>
              <w:t xml:space="preserve">Nitrate</w:t>
            </w:r>
          </w:p>
        </w:tc>
        <w:tc>
          <w:p>
            <w:pPr>
              <w:pStyle w:val="Compact"/>
              <w:jc w:val="left"/>
            </w:pPr>
            <w:r>
              <w:t xml:space="preserve">02/09/2024</w:t>
            </w:r>
          </w:p>
        </w:tc>
        <w:tc>
          <w:p>
            <w:pPr>
              <w:pStyle w:val="Compact"/>
              <w:jc w:val="left"/>
            </w:pPr>
            <w:r>
              <w:t xml:space="preserve">1.5</w:t>
            </w:r>
          </w:p>
        </w:tc>
        <w:tc>
          <w:p>
            <w:pPr>
              <w:pStyle w:val="Compact"/>
              <w:jc w:val="left"/>
            </w:pPr>
            <w:r>
              <w:t xml:space="preserve">1.5 - 1.5</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04/17/2023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10/15/2020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Gross Alpha Particle Activity*</w:t>
            </w:r>
          </w:p>
        </w:tc>
        <w:tc>
          <w:p>
            <w:pPr>
              <w:pStyle w:val="Compact"/>
              <w:jc w:val="left"/>
            </w:pPr>
            <w:r>
              <w:t xml:space="preserve">01/19/2023</w:t>
            </w:r>
          </w:p>
        </w:tc>
        <w:tc>
          <w:p>
            <w:pPr>
              <w:pStyle w:val="Compact"/>
              <w:jc w:val="left"/>
            </w:pPr>
            <w:r>
              <w:t xml:space="preserve">2.7</w:t>
            </w:r>
          </w:p>
        </w:tc>
        <w:tc>
          <w:p>
            <w:pPr>
              <w:pStyle w:val="Compact"/>
              <w:jc w:val="left"/>
            </w:pPr>
            <w:r>
              <w:t xml:space="preserve">2.7 - 2.7</w:t>
            </w:r>
          </w:p>
        </w:tc>
        <w:tc>
          <w:p>
            <w:pPr>
              <w:pStyle w:val="Compact"/>
              <w:jc w:val="left"/>
            </w:pPr>
            <w:r>
              <w:t xml:space="preserve">pCi/L</w:t>
            </w:r>
          </w:p>
        </w:tc>
        <w:tc>
          <w:p>
            <w:pPr>
              <w:pStyle w:val="Compact"/>
              <w:jc w:val="left"/>
            </w:pPr>
            <w:r>
              <w:t xml:space="preserve">NA</w:t>
            </w:r>
          </w:p>
        </w:tc>
        <w:tc>
          <w:p>
            <w:pPr>
              <w:pStyle w:val="Compact"/>
              <w:jc w:val="left"/>
            </w:pPr>
            <w:r>
              <w:t xml:space="preserve">0</w:t>
            </w:r>
          </w:p>
        </w:tc>
        <w:tc>
          <w:p>
            <w:pPr>
              <w:pStyle w:val="Compact"/>
              <w:jc w:val="left"/>
            </w:pPr>
            <w:r>
              <w:t xml:space="preserve">Erosion of natural deposits</w:t>
            </w:r>
          </w:p>
        </w:tc>
      </w:tr>
    </w:tbl>
    <w:p>
      <w:pPr>
        <w:pStyle w:val="BodyText"/>
      </w:pPr>
      <w:r>
        <w:t xml:space="preserve">*Gross Alpha Particle Activity results are unadjusted for other radionuclide contribution, in particular Uranium. The Adjusted Gross Alpha (or AGA) result is then compared to the MCL of 15 pCi/L.</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06/27/2023</w:t>
            </w:r>
          </w:p>
        </w:tc>
        <w:tc>
          <w:p>
            <w:pPr>
              <w:pStyle w:val="Compact"/>
              <w:jc w:val="left"/>
            </w:pPr>
            <w:r>
              <w:t xml:space="preserve">3.2</w:t>
            </w:r>
          </w:p>
        </w:tc>
        <w:tc>
          <w:p>
            <w:pPr>
              <w:pStyle w:val="Compact"/>
              <w:jc w:val="left"/>
            </w:pPr>
            <w:r>
              <w:t xml:space="preserve">0 - 6.3</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06/27/2023</w:t>
            </w:r>
          </w:p>
        </w:tc>
        <w:tc>
          <w:p>
            <w:pPr>
              <w:pStyle w:val="Compact"/>
              <w:jc w:val="left"/>
            </w:pPr>
            <w:r>
              <w:t xml:space="preserve">0.028</w:t>
            </w:r>
          </w:p>
        </w:tc>
        <w:tc>
          <w:p>
            <w:pPr>
              <w:pStyle w:val="Compact"/>
              <w:jc w:val="left"/>
            </w:pPr>
            <w:r>
              <w:t xml:space="preserve">0 - 0.029</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WOODSIDE MANOR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WOODSIDE MANOR.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2025-03-18T12:35:12Z</dcterms:created>
  <dcterms:modified xsi:type="dcterms:W3CDTF">2025-03-18T12:35:12Z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