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b93d5aa99680b02a883408d4986df5b04300fa"/>
      <w:r>
        <w:t xml:space="preserve">VT0005331 Consumer Confidence Report Certificate of Delivery 2024</w:t>
      </w:r>
      <w:bookmarkEnd w:id="20"/>
    </w:p>
    <w:p>
      <w:pPr>
        <w:pStyle w:val="Heading6"/>
      </w:pPr>
      <w:bookmarkStart w:id="21" w:name="royalton-terrace"/>
      <w:r>
        <w:t xml:space="preserve">ROYALTON TERRACE</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oyalton-terrace---vt0005331"/>
      <w:r>
        <w:t xml:space="preserve">ROYALTON TERRACE - VT0005331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royalton-terrace"/>
      <w:r>
        <w:t xml:space="preserve">Detected Contaminants ROYALTON TERRACE</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0.371</w:t>
            </w:r>
          </w:p>
        </w:tc>
        <w:tc>
          <w:p>
            <w:pPr>
              <w:pStyle w:val="Compact"/>
              <w:jc w:val="left"/>
            </w:pPr>
            <w:r>
              <w:t xml:space="preserve">0.100 - 0.500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02/10/2022</w:t>
            </w:r>
          </w:p>
        </w:tc>
        <w:tc>
          <w:p>
            <w:pPr>
              <w:pStyle w:val="Compact"/>
              <w:jc w:val="left"/>
            </w:pPr>
            <w:r>
              <w:t xml:space="preserve">0.023</w:t>
            </w:r>
          </w:p>
        </w:tc>
        <w:tc>
          <w:p>
            <w:pPr>
              <w:pStyle w:val="Compact"/>
              <w:jc w:val="left"/>
            </w:pPr>
            <w:r>
              <w:t xml:space="preserve">0.023 - 0.023</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02/10/2022</w:t>
            </w:r>
          </w:p>
        </w:tc>
        <w:tc>
          <w:p>
            <w:pPr>
              <w:pStyle w:val="Compact"/>
              <w:jc w:val="left"/>
            </w:pPr>
            <w:r>
              <w:t xml:space="preserve">0.2</w:t>
            </w:r>
          </w:p>
        </w:tc>
        <w:tc>
          <w:p>
            <w:pPr>
              <w:pStyle w:val="Compact"/>
              <w:jc w:val="left"/>
            </w:pPr>
            <w:r>
              <w:t xml:space="preserve">0.2 - 0.2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02/10/2022</w:t>
            </w:r>
          </w:p>
        </w:tc>
        <w:tc>
          <w:p>
            <w:pPr>
              <w:pStyle w:val="Compact"/>
              <w:jc w:val="left"/>
            </w:pPr>
            <w:r>
              <w:t xml:space="preserve">46</w:t>
            </w:r>
          </w:p>
        </w:tc>
        <w:tc>
          <w:p>
            <w:pPr>
              <w:pStyle w:val="Compact"/>
              <w:jc w:val="left"/>
            </w:pPr>
            <w:r>
              <w:t xml:space="preserve">46 - 46</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08/06/2024</w:t>
            </w:r>
          </w:p>
        </w:tc>
        <w:tc>
          <w:p>
            <w:pPr>
              <w:pStyle w:val="Compact"/>
              <w:jc w:val="left"/>
            </w:pPr>
            <w:r>
              <w:t xml:space="preserve">6.1</w:t>
            </w:r>
          </w:p>
        </w:tc>
        <w:tc>
          <w:p>
            <w:pPr>
              <w:pStyle w:val="Compact"/>
              <w:jc w:val="left"/>
            </w:pPr>
            <w:r>
              <w:t xml:space="preserve">2.9 - 6.1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01/17/2023</w:t>
            </w:r>
          </w:p>
        </w:tc>
        <w:tc>
          <w:p>
            <w:pPr>
              <w:pStyle w:val="Compact"/>
              <w:jc w:val="left"/>
            </w:pPr>
            <w:r>
              <w:t xml:space="preserve">9.8</w:t>
            </w:r>
          </w:p>
        </w:tc>
        <w:tc>
          <w:p>
            <w:pPr>
              <w:pStyle w:val="Compact"/>
              <w:jc w:val="left"/>
            </w:pPr>
            <w:r>
              <w:t xml:space="preserve">9.8 - 9.8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08/06/2024</w:t>
            </w:r>
          </w:p>
        </w:tc>
        <w:tc>
          <w:p>
            <w:pPr>
              <w:pStyle w:val="Compact"/>
              <w:jc w:val="left"/>
            </w:pPr>
            <w:r>
              <w:t xml:space="preserve">3.5</w:t>
            </w:r>
          </w:p>
        </w:tc>
        <w:tc>
          <w:p>
            <w:pPr>
              <w:pStyle w:val="Compact"/>
              <w:jc w:val="left"/>
            </w:pPr>
            <w:r>
              <w:t xml:space="preserve">1.8 - 3.5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01/18/2024</w:t>
            </w:r>
          </w:p>
        </w:tc>
        <w:tc>
          <w:p>
            <w:pPr>
              <w:pStyle w:val="Compact"/>
              <w:jc w:val="left"/>
            </w:pPr>
            <w:r>
              <w:t xml:space="preserve">2.7</w:t>
            </w:r>
          </w:p>
        </w:tc>
        <w:tc>
          <w:p>
            <w:pPr>
              <w:pStyle w:val="Compact"/>
              <w:jc w:val="left"/>
            </w:pPr>
            <w:r>
              <w:t xml:space="preserve">1.1 - 2.7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STEFFEN, 67 LOWER EATON PARK (LOT 27)</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09/05/2023</w:t>
            </w:r>
          </w:p>
        </w:tc>
        <w:tc>
          <w:p>
            <w:pPr>
              <w:pStyle w:val="Compact"/>
              <w:jc w:val="left"/>
            </w:pPr>
            <w:r>
              <w:t xml:space="preserve">0</w:t>
            </w:r>
          </w:p>
        </w:tc>
        <w:tc>
          <w:p>
            <w:pPr>
              <w:pStyle w:val="Compact"/>
              <w:jc w:val="left"/>
            </w:pPr>
            <w:r>
              <w:t xml:space="preserve">0 - 1.3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09/05/2023</w:t>
            </w:r>
          </w:p>
        </w:tc>
        <w:tc>
          <w:p>
            <w:pPr>
              <w:pStyle w:val="Compact"/>
              <w:jc w:val="left"/>
            </w:pPr>
            <w:r>
              <w:t xml:space="preserve">0.038</w:t>
            </w:r>
          </w:p>
        </w:tc>
        <w:tc>
          <w:p>
            <w:pPr>
              <w:pStyle w:val="Compact"/>
              <w:jc w:val="left"/>
            </w:pPr>
            <w:r>
              <w:t xml:space="preserve">0 - 0.049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MCL, AVERAGE</w:t>
            </w:r>
          </w:p>
        </w:tc>
        <w:tc>
          <w:p>
            <w:pPr>
              <w:pStyle w:val="Compact"/>
              <w:jc w:val="left"/>
            </w:pPr>
            <w:r>
              <w:t xml:space="preserve">Maximum Contaminant Level Violation</w:t>
            </w:r>
          </w:p>
        </w:tc>
        <w:tc>
          <w:p>
            <w:pPr>
              <w:pStyle w:val="Compact"/>
              <w:jc w:val="left"/>
            </w:pPr>
            <w:r>
              <w:t xml:space="preserve">COMBINED RADIUM (-226 &amp; -228)</w:t>
            </w:r>
          </w:p>
        </w:tc>
        <w:tc>
          <w:p>
            <w:pPr>
              <w:pStyle w:val="Compact"/>
              <w:jc w:val="left"/>
            </w:pPr>
            <w:r>
              <w:t xml:space="preserve">01/01/2024 - 03/31/2024</w:t>
            </w:r>
          </w:p>
        </w:tc>
      </w:tr>
      <w:tr>
        <w:tc>
          <w:p>
            <w:pPr>
              <w:pStyle w:val="Compact"/>
              <w:jc w:val="left"/>
            </w:pPr>
            <w:r>
              <w:t xml:space="preserve">MONITORING, ROUTINE (DBP), MAJOR</w:t>
            </w:r>
          </w:p>
        </w:tc>
        <w:tc>
          <w:p>
            <w:pPr>
              <w:pStyle w:val="Compact"/>
              <w:jc w:val="left"/>
            </w:pPr>
            <w:r>
              <w:t xml:space="preserve">Failure to Monitor</w:t>
            </w:r>
          </w:p>
        </w:tc>
        <w:tc>
          <w:p>
            <w:pPr>
              <w:pStyle w:val="Compact"/>
              <w:jc w:val="left"/>
            </w:pPr>
            <w:r>
              <w:t xml:space="preserve">Disinfection Byproducts</w:t>
            </w:r>
          </w:p>
        </w:tc>
        <w:tc>
          <w:p>
            <w:pPr>
              <w:pStyle w:val="Compact"/>
              <w:jc w:val="left"/>
            </w:pPr>
            <w:r>
              <w:t xml:space="preserve">01/01/2024 - 12/31/2026</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ROYALTON TERRACE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ROYALTON TERRACE.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BodyText"/>
      </w:pPr>
      <w:r>
        <w:t xml:space="preserve">Some people who drink water containing radium 226 or 228 in excess of the MCL over many years may have an increased risk of getting cancer.</w:t>
      </w:r>
      <w:r>
        <w:br/>
      </w:r>
      <w:r>
        <w:br/>
      </w: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7" w:name="section-2"/>
      <w:bookmarkEnd w:id="37"/>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2025-03-18T12:21:03Z</dcterms:created>
  <dcterms:modified xsi:type="dcterms:W3CDTF">2025-03-18T12:21:03Z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