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cd72275eb9daf3ae88ca07c473ce3cf75ab55c"/>
      <w:r>
        <w:t xml:space="preserve">VT0005283 Consumer Confidence Report Certificate of Delivery 2023</w:t>
      </w:r>
      <w:bookmarkEnd w:id="20"/>
    </w:p>
    <w:p>
      <w:pPr>
        <w:pStyle w:val="Heading6"/>
      </w:pPr>
      <w:bookmarkStart w:id="21" w:name="bridges-resort"/>
      <w:r>
        <w:t xml:space="preserve">BRIDGES RESORT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ridges-resort---vt0005283"/>
      <w:r>
        <w:t xml:space="preserve">BRIDGES RESORT - VT0005283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ridges-resort"/>
      <w:r>
        <w:t xml:space="preserve">Detected Contaminants BRIDGES RESORT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0.418</w:t>
            </w:r>
          </w:p>
        </w:tc>
        <w:tc>
          <w:p>
            <w:pPr>
              <w:pStyle w:val="Compact"/>
              <w:jc w:val="left"/>
            </w:pPr>
            <w:r>
              <w:t xml:space="preserve">0.200 - 0.950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07/21/2020</w:t>
            </w:r>
          </w:p>
        </w:tc>
        <w:tc>
          <w:p>
            <w:pPr>
              <w:pStyle w:val="Compact"/>
              <w:jc w:val="left"/>
            </w:pPr>
            <w:r>
              <w:t xml:space="preserve">3.5</w:t>
            </w:r>
          </w:p>
        </w:tc>
        <w:tc>
          <w:p>
            <w:pPr>
              <w:pStyle w:val="Compact"/>
              <w:jc w:val="left"/>
            </w:pPr>
            <w:r>
              <w:t xml:space="preserve">3.5 - 3.5</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Fluoride</w:t>
            </w:r>
          </w:p>
        </w:tc>
        <w:tc>
          <w:p>
            <w:pPr>
              <w:pStyle w:val="Compact"/>
              <w:jc w:val="left"/>
            </w:pPr>
            <w:r>
              <w:t xml:space="preserve">07/21/2020</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08/21/2023</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08/21/2023</w:t>
            </w:r>
          </w:p>
        </w:tc>
        <w:tc>
          <w:p>
            <w:pPr>
              <w:pStyle w:val="Compact"/>
              <w:jc w:val="left"/>
            </w:pPr>
            <w:r>
              <w:t xml:space="preserve">71</w:t>
            </w:r>
          </w:p>
        </w:tc>
        <w:tc>
          <w:p>
            <w:pPr>
              <w:pStyle w:val="Compact"/>
              <w:jc w:val="left"/>
            </w:pPr>
            <w:r>
              <w:t xml:space="preserve">71 - 71</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01/26/2022</w:t>
            </w:r>
          </w:p>
        </w:tc>
        <w:tc>
          <w:p>
            <w:pPr>
              <w:pStyle w:val="Compact"/>
              <w:jc w:val="left"/>
            </w:pPr>
            <w:r>
              <w:t xml:space="preserve">1.1</w:t>
            </w:r>
          </w:p>
        </w:tc>
        <w:tc>
          <w:p>
            <w:pPr>
              <w:pStyle w:val="Compact"/>
              <w:jc w:val="left"/>
            </w:pPr>
            <w:r>
              <w:t xml:space="preserve">1.1 - 1.1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09/18/2023</w:t>
            </w:r>
          </w:p>
        </w:tc>
        <w:tc>
          <w:p>
            <w:pPr>
              <w:pStyle w:val="Compact"/>
              <w:jc w:val="left"/>
            </w:pPr>
            <w:r>
              <w:t xml:space="preserve">4</w:t>
            </w:r>
          </w:p>
        </w:tc>
        <w:tc>
          <w:p>
            <w:pPr>
              <w:pStyle w:val="Compact"/>
              <w:jc w:val="left"/>
            </w:pPr>
            <w:r>
              <w:t xml:space="preserve">0 - 4.5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09/18/2023</w:t>
            </w:r>
          </w:p>
        </w:tc>
        <w:tc>
          <w:p>
            <w:pPr>
              <w:pStyle w:val="Compact"/>
              <w:jc w:val="left"/>
            </w:pPr>
            <w:r>
              <w:t xml:space="preserve">0.68</w:t>
            </w:r>
          </w:p>
        </w:tc>
        <w:tc>
          <w:p>
            <w:pPr>
              <w:pStyle w:val="Compact"/>
              <w:jc w:val="left"/>
            </w:pPr>
            <w:r>
              <w:t xml:space="preserve">0.072 - 0.77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BRIDGES RESORT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2024-03-22T15:51:02Z</dcterms:created>
  <dcterms:modified xsi:type="dcterms:W3CDTF">2024-03-22T15:51:02Z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