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1fa211cbf1e71a2cc80bc5f5be9390fd5014fe"/>
      <w:r>
        <w:t xml:space="preserve">VT0005240 Consumer Confidence Report Certificate of Delivery 2024</w:t>
      </w:r>
      <w:bookmarkEnd w:id="20"/>
    </w:p>
    <w:p>
      <w:pPr>
        <w:pStyle w:val="Heading6"/>
      </w:pPr>
      <w:bookmarkStart w:id="21" w:name="hemlock-ridge-condominium"/>
      <w:r>
        <w:t xml:space="preserve">HEMLOCK RIDGE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hemlock-ridge-condominium---vt0005240"/>
      <w:r>
        <w:t xml:space="preserve">HEMLOCK RIDGE CONDOMINIUM - VT0005240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fbadf539353f01fada838984efbc23eb566a57"/>
      <w:r>
        <w:t xml:space="preserve">Detected Contaminants HEMLOCK RIDGE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0.348</w:t>
            </w:r>
          </w:p>
        </w:tc>
        <w:tc>
          <w:p>
            <w:pPr>
              <w:pStyle w:val="Compact"/>
              <w:jc w:val="left"/>
            </w:pPr>
            <w:r>
              <w:t xml:space="preserve">0.210 - 0.540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04/21/2022</w:t>
            </w:r>
          </w:p>
        </w:tc>
        <w:tc>
          <w:p>
            <w:pPr>
              <w:pStyle w:val="Compact"/>
              <w:jc w:val="left"/>
            </w:pPr>
            <w:r>
              <w:t xml:space="preserve">0.047</w:t>
            </w:r>
          </w:p>
        </w:tc>
        <w:tc>
          <w:p>
            <w:pPr>
              <w:pStyle w:val="Compact"/>
              <w:jc w:val="left"/>
            </w:pPr>
            <w:r>
              <w:t xml:space="preserve">0.047 - 0.047</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04/21/2022</w:t>
            </w:r>
          </w:p>
        </w:tc>
        <w:tc>
          <w:p>
            <w:pPr>
              <w:pStyle w:val="Compact"/>
              <w:jc w:val="left"/>
            </w:pPr>
            <w:r>
              <w:t xml:space="preserve">0.12</w:t>
            </w:r>
          </w:p>
        </w:tc>
        <w:tc>
          <w:p>
            <w:pPr>
              <w:pStyle w:val="Compact"/>
              <w:jc w:val="left"/>
            </w:pPr>
            <w:r>
              <w:t xml:space="preserve">0.12 - 0.12</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Selenium</w:t>
            </w:r>
          </w:p>
        </w:tc>
        <w:tc>
          <w:p>
            <w:pPr>
              <w:pStyle w:val="Compact"/>
              <w:jc w:val="left"/>
            </w:pPr>
            <w:r>
              <w:t xml:space="preserve">04/21/2022</w:t>
            </w:r>
          </w:p>
        </w:tc>
        <w:tc>
          <w:p>
            <w:pPr>
              <w:pStyle w:val="Compact"/>
              <w:jc w:val="left"/>
            </w:pPr>
            <w:r>
              <w:t xml:space="preserve">2.9</w:t>
            </w:r>
          </w:p>
        </w:tc>
        <w:tc>
          <w:p>
            <w:pPr>
              <w:pStyle w:val="Compact"/>
              <w:jc w:val="left"/>
            </w:pPr>
            <w:r>
              <w:t xml:space="preserve">2.9 - 2.9</w:t>
            </w:r>
          </w:p>
        </w:tc>
        <w:tc>
          <w:p>
            <w:pPr>
              <w:pStyle w:val="Compact"/>
              <w:jc w:val="left"/>
            </w:pPr>
            <w:r>
              <w:t xml:space="preserve">ppb</w:t>
            </w:r>
          </w:p>
        </w:tc>
        <w:tc>
          <w:p>
            <w:pPr>
              <w:pStyle w:val="Compact"/>
              <w:jc w:val="left"/>
            </w:pPr>
            <w:r>
              <w:t xml:space="preserve">50</w:t>
            </w:r>
          </w:p>
        </w:tc>
        <w:tc>
          <w:p>
            <w:pPr>
              <w:pStyle w:val="Compact"/>
              <w:jc w:val="left"/>
            </w:pPr>
            <w:r>
              <w:t xml:space="preserve">50</w:t>
            </w:r>
          </w:p>
        </w:tc>
        <w:tc>
          <w:p>
            <w:pPr>
              <w:pStyle w:val="Compact"/>
              <w:jc w:val="left"/>
            </w:pPr>
            <w:r>
              <w:t xml:space="preserve">Discharge from petroleum  and metal refineries;  Erosion of natural deposits;  Discharge from mines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09/26/2024</w:t>
            </w:r>
          </w:p>
        </w:tc>
        <w:tc>
          <w:p>
            <w:pPr>
              <w:pStyle w:val="Compact"/>
              <w:jc w:val="left"/>
            </w:pPr>
            <w:r>
              <w:t xml:space="preserve">1.1</w:t>
            </w:r>
          </w:p>
        </w:tc>
        <w:tc>
          <w:p>
            <w:pPr>
              <w:pStyle w:val="Compact"/>
              <w:jc w:val="left"/>
            </w:pPr>
            <w:r>
              <w:t xml:space="preserve">0.5 - 1.1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08/12/2021</w:t>
            </w:r>
          </w:p>
        </w:tc>
        <w:tc>
          <w:p>
            <w:pPr>
              <w:pStyle w:val="Compact"/>
              <w:jc w:val="left"/>
            </w:pPr>
            <w:r>
              <w:t xml:space="preserve">2.1</w:t>
            </w:r>
          </w:p>
        </w:tc>
        <w:tc>
          <w:p>
            <w:pPr>
              <w:pStyle w:val="Compact"/>
              <w:jc w:val="left"/>
            </w:pPr>
            <w:r>
              <w:t xml:space="preserve">2.1 - 2.1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06/26/2024</w:t>
            </w:r>
          </w:p>
        </w:tc>
        <w:tc>
          <w:p>
            <w:pPr>
              <w:pStyle w:val="Compact"/>
              <w:jc w:val="left"/>
            </w:pPr>
            <w:r>
              <w:t xml:space="preserve">0.5</w:t>
            </w:r>
          </w:p>
        </w:tc>
        <w:tc>
          <w:p>
            <w:pPr>
              <w:pStyle w:val="Compact"/>
              <w:jc w:val="left"/>
            </w:pPr>
            <w:r>
              <w:t xml:space="preserve">0.4 - 0.5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09/26/2024</w:t>
            </w:r>
          </w:p>
        </w:tc>
        <w:tc>
          <w:p>
            <w:pPr>
              <w:pStyle w:val="Compact"/>
              <w:jc w:val="left"/>
            </w:pPr>
            <w:r>
              <w:t xml:space="preserve">0.7</w:t>
            </w:r>
          </w:p>
        </w:tc>
        <w:tc>
          <w:p>
            <w:pPr>
              <w:pStyle w:val="Compact"/>
              <w:jc w:val="left"/>
            </w:pPr>
            <w:r>
              <w:t xml:space="preserve">0.6 - 0.7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BUILDING 1, UNIT D</w:t>
            </w:r>
          </w:p>
        </w:tc>
        <w:tc>
          <w:p>
            <w:pPr>
              <w:pStyle w:val="Compact"/>
              <w:jc w:val="left"/>
            </w:pPr>
            <w:r>
              <w:t xml:space="preserve">12</w:t>
            </w:r>
          </w:p>
        </w:tc>
        <w:tc>
          <w:p>
            <w:pPr>
              <w:pStyle w:val="Compact"/>
              <w:jc w:val="left"/>
            </w:pPr>
            <w:r>
              <w:t xml:space="preserve">12 - 12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BUILDING 4, UNIT A</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12/30/2024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12/30/2024</w:t>
            </w:r>
          </w:p>
        </w:tc>
        <w:tc>
          <w:p>
            <w:pPr>
              <w:pStyle w:val="Compact"/>
              <w:jc w:val="left"/>
            </w:pPr>
            <w:r>
              <w:t xml:space="preserve">0.043</w:t>
            </w:r>
          </w:p>
        </w:tc>
        <w:tc>
          <w:p>
            <w:pPr>
              <w:pStyle w:val="Compact"/>
              <w:jc w:val="left"/>
            </w:pPr>
            <w:r>
              <w:t xml:space="preserve">0 - 0.057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05/16/2024</w:t>
            </w:r>
          </w:p>
        </w:tc>
        <w:tc>
          <w:p>
            <w:pPr>
              <w:pStyle w:val="Compact"/>
              <w:jc w:val="left"/>
            </w:pPr>
            <w:r>
              <w:t xml:space="preserve">0.6</w:t>
            </w:r>
          </w:p>
        </w:tc>
        <w:tc>
          <w:p>
            <w:pPr>
              <w:pStyle w:val="Compact"/>
              <w:jc w:val="left"/>
            </w:pPr>
            <w:r>
              <w:t xml:space="preserve">0 - 1.1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05/16/2024</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07/01/2024 - 10/11/2024</w:t>
            </w:r>
          </w:p>
        </w:tc>
      </w:tr>
      <w:tr>
        <w:tc>
          <w:p>
            <w:pPr>
              <w:pStyle w:val="Compact"/>
              <w:jc w:val="left"/>
            </w:pPr>
            <w:r>
              <w:t xml:space="preserve">LEAD CONSUMER NOTICE (LCR)</w:t>
            </w:r>
          </w:p>
        </w:tc>
        <w:tc>
          <w:p>
            <w:pPr>
              <w:pStyle w:val="Compact"/>
              <w:jc w:val="left"/>
            </w:pPr>
            <w:r>
              <w:t xml:space="preserve">Failure to Report</w:t>
            </w:r>
          </w:p>
        </w:tc>
        <w:tc>
          <w:p>
            <w:pPr>
              <w:pStyle w:val="Compact"/>
              <w:jc w:val="left"/>
            </w:pPr>
            <w:r>
              <w:t xml:space="preserve">LEAD &amp; COPPER RULE</w:t>
            </w:r>
          </w:p>
        </w:tc>
        <w:tc>
          <w:p>
            <w:pPr>
              <w:pStyle w:val="Compact"/>
              <w:jc w:val="left"/>
            </w:pPr>
            <w:r>
              <w:t xml:space="preserve">09/29/2024 -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HEMLOCK RIDGE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HEMLOCK RIDGE CONDOMINIUM.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2025-03-18T11:48:00Z</dcterms:created>
  <dcterms:modified xsi:type="dcterms:W3CDTF">2025-03-18T11:48:00Z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