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ed0c3cdf6fe8d2167d92e27ca7116c663ee007e"/>
      <w:r>
        <w:t xml:space="preserve">VT0005208 Consumer Confidence Report Certificate of Delivery 2024</w:t>
      </w:r>
      <w:bookmarkEnd w:id="20"/>
    </w:p>
    <w:p>
      <w:pPr>
        <w:pStyle w:val="Heading6"/>
      </w:pPr>
      <w:bookmarkStart w:id="21" w:name="alpine-haven"/>
      <w:r>
        <w:t xml:space="preserve">ALPINE HAVEN</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alpine-haven---vt0005208"/>
      <w:r>
        <w:t xml:space="preserve">ALPINE HAVEN - VT0005208</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WELL 4</w:t>
            </w:r>
          </w:p>
        </w:tc>
        <w:tc>
          <w:p>
            <w:pPr>
              <w:pStyle w:val="Compact"/>
              <w:jc w:val="left"/>
            </w:pPr>
            <w:r>
              <w:t xml:space="preserve">Groundwater</w:t>
            </w:r>
          </w:p>
        </w:tc>
      </w:tr>
      <w:tr>
        <w:tc>
          <w:p>
            <w:pPr>
              <w:pStyle w:val="Compact"/>
              <w:jc w:val="left"/>
            </w:pPr>
            <w:r>
              <w:t xml:space="preserve">WELL 3</w:t>
            </w:r>
          </w:p>
        </w:tc>
        <w:tc>
          <w:p>
            <w:pPr>
              <w:pStyle w:val="Compact"/>
              <w:jc w:val="left"/>
            </w:pPr>
            <w:r>
              <w:t xml:space="preserve">Groundwater</w:t>
            </w:r>
          </w:p>
        </w:tc>
      </w:tr>
      <w:tr>
        <w:tc>
          <w:p>
            <w:pPr>
              <w:pStyle w:val="Compact"/>
              <w:jc w:val="left"/>
            </w:pPr>
            <w:r>
              <w:t xml:space="preserve">WELL 1B</w:t>
            </w:r>
          </w:p>
        </w:tc>
        <w:tc>
          <w:p>
            <w:pPr>
              <w:pStyle w:val="Compact"/>
              <w:jc w:val="left"/>
            </w:pPr>
            <w:r>
              <w:t xml:space="preserve">Groundwater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detected-contaminants-alpine-haven"/>
      <w:r>
        <w:t xml:space="preserve">Detected Contaminants ALPINE HAVEN</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Residual</w:t>
            </w:r>
          </w:p>
        </w:tc>
        <w:tc>
          <w:tcPr>
            <w:tcBorders>
              <w:bottom w:val="single"/>
            </w:tcBorders>
            <w:vAlign w:val="bottom"/>
          </w:tcPr>
          <w:p>
            <w:pPr>
              <w:pStyle w:val="Compact"/>
              <w:jc w:val="left"/>
            </w:pPr>
            <w:r>
              <w:t xml:space="preserve">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MRDL</w:t>
            </w:r>
          </w:p>
        </w:tc>
        <w:tc>
          <w:tcPr>
            <w:tcBorders>
              <w:bottom w:val="single"/>
            </w:tcBorders>
            <w:vAlign w:val="bottom"/>
          </w:tcPr>
          <w:p>
            <w:pPr>
              <w:pStyle w:val="Compact"/>
              <w:jc w:val="left"/>
            </w:pPr>
            <w:r>
              <w:t xml:space="preserve">MRDLG</w:t>
            </w:r>
          </w:p>
        </w:tc>
        <w:tc>
          <w:tcPr>
            <w:tcBorders>
              <w:bottom w:val="single"/>
            </w:tcBorders>
            <w:vAlign w:val="bottom"/>
          </w:tcPr>
          <w:p>
            <w:pPr>
              <w:pStyle w:val="Compact"/>
              <w:jc w:val="left"/>
            </w:pPr>
            <w:r>
              <w:t xml:space="preserve">Typical Source</w:t>
            </w:r>
          </w:p>
        </w:tc>
      </w:tr>
      <w:tr>
        <w:tc>
          <w:p>
            <w:pPr>
              <w:pStyle w:val="Compact"/>
              <w:jc w:val="left"/>
            </w:pPr>
            <w:r>
              <w:t xml:space="preserve">Chlorine</w:t>
            </w:r>
          </w:p>
        </w:tc>
        <w:tc>
          <w:p>
            <w:pPr>
              <w:pStyle w:val="Compact"/>
              <w:jc w:val="left"/>
            </w:pPr>
            <w:r>
              <w:t xml:space="preserve">0.444</w:t>
            </w:r>
          </w:p>
        </w:tc>
        <w:tc>
          <w:p>
            <w:pPr>
              <w:pStyle w:val="Compact"/>
              <w:jc w:val="left"/>
            </w:pPr>
            <w:r>
              <w:t xml:space="preserve">0.250 - 0.660</w:t>
            </w:r>
          </w:p>
        </w:tc>
        <w:tc>
          <w:p>
            <w:pPr>
              <w:pStyle w:val="Compact"/>
              <w:jc w:val="left"/>
            </w:pPr>
            <w:r>
              <w:t xml:space="preserve">mg/l</w:t>
            </w:r>
          </w:p>
        </w:tc>
        <w:tc>
          <w:p>
            <w:pPr>
              <w:pStyle w:val="Compact"/>
              <w:jc w:val="left"/>
            </w:pPr>
            <w:r>
              <w:t xml:space="preserve">4</w:t>
            </w:r>
          </w:p>
        </w:tc>
        <w:tc>
          <w:p>
            <w:pPr>
              <w:pStyle w:val="Compact"/>
              <w:jc w:val="left"/>
            </w:pPr>
            <w:r>
              <w:t xml:space="preserve">4</w:t>
            </w:r>
          </w:p>
        </w:tc>
        <w:tc>
          <w:p>
            <w:pPr>
              <w:pStyle w:val="Compact"/>
              <w:jc w:val="left"/>
            </w:pPr>
            <w:r>
              <w:t xml:space="preserve">Water additive to control microbes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Chemical Contaminants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Fluoride</w:t>
            </w:r>
          </w:p>
        </w:tc>
        <w:tc>
          <w:p>
            <w:pPr>
              <w:pStyle w:val="Compact"/>
              <w:jc w:val="left"/>
            </w:pPr>
            <w:r>
              <w:t xml:space="preserve">01/17/2024</w:t>
            </w:r>
          </w:p>
        </w:tc>
        <w:tc>
          <w:p>
            <w:pPr>
              <w:pStyle w:val="Compact"/>
              <w:jc w:val="left"/>
            </w:pPr>
            <w:r>
              <w:t xml:space="preserve">0.12</w:t>
            </w:r>
          </w:p>
        </w:tc>
        <w:tc>
          <w:p>
            <w:pPr>
              <w:pStyle w:val="Compact"/>
              <w:jc w:val="left"/>
            </w:pPr>
            <w:r>
              <w:t xml:space="preserve">0.12 - 0.12</w:t>
            </w:r>
          </w:p>
        </w:tc>
        <w:tc>
          <w:p>
            <w:pPr>
              <w:pStyle w:val="Compact"/>
              <w:jc w:val="left"/>
            </w:pPr>
            <w:r>
              <w:t xml:space="preserve">ppm</w:t>
            </w:r>
          </w:p>
        </w:tc>
        <w:tc>
          <w:p>
            <w:pPr>
              <w:pStyle w:val="Compact"/>
              <w:jc w:val="left"/>
            </w:pPr>
            <w:r>
              <w:t xml:space="preserve">4</w:t>
            </w:r>
          </w:p>
        </w:tc>
        <w:tc>
          <w:p>
            <w:pPr>
              <w:pStyle w:val="Compact"/>
              <w:jc w:val="left"/>
            </w:pPr>
            <w:r>
              <w:t xml:space="preserve">4</w:t>
            </w:r>
          </w:p>
        </w:tc>
        <w:tc>
          <w:p>
            <w:pPr>
              <w:pStyle w:val="Compact"/>
              <w:jc w:val="left"/>
            </w:pPr>
            <w:r>
              <w:t xml:space="preserve">Erosion of natural deposits;  Water additive which promotes strong teeth; Discharge from fertilizer and aluminum factories</w:t>
            </w:r>
          </w:p>
        </w:tc>
      </w:tr>
      <w:tr>
        <w:tc>
          <w:p>
            <w:pPr>
              <w:pStyle w:val="Compact"/>
              <w:jc w:val="left"/>
            </w:pPr>
            <w:r>
              <w:t xml:space="preserve">Manganese</w:t>
            </w:r>
          </w:p>
        </w:tc>
        <w:tc>
          <w:p>
            <w:pPr>
              <w:pStyle w:val="Compact"/>
              <w:jc w:val="left"/>
            </w:pPr>
            <w:r>
              <w:t xml:space="preserve">01/17/2024</w:t>
            </w:r>
          </w:p>
        </w:tc>
        <w:tc>
          <w:p>
            <w:pPr>
              <w:pStyle w:val="Compact"/>
              <w:jc w:val="left"/>
            </w:pPr>
            <w:r>
              <w:t xml:space="preserve">41</w:t>
            </w:r>
          </w:p>
        </w:tc>
        <w:tc>
          <w:p>
            <w:pPr>
              <w:pStyle w:val="Compact"/>
              <w:jc w:val="left"/>
            </w:pPr>
            <w:r>
              <w:t xml:space="preserve">29 - 41</w:t>
            </w:r>
          </w:p>
        </w:tc>
        <w:tc>
          <w:p>
            <w:pPr>
              <w:pStyle w:val="Compact"/>
              <w:jc w:val="left"/>
            </w:pPr>
            <w:r>
              <w:t xml:space="preserve">ppb</w:t>
            </w:r>
          </w:p>
        </w:tc>
        <w:tc>
          <w:p>
            <w:pPr>
              <w:pStyle w:val="Compact"/>
              <w:jc w:val="left"/>
            </w:pPr>
            <w:r>
              <w:t xml:space="preserve">NA</w:t>
            </w:r>
          </w:p>
        </w:tc>
        <w:tc>
          <w:p>
            <w:pPr>
              <w:pStyle w:val="Compact"/>
              <w:jc w:val="left"/>
            </w:pPr>
            <w:r>
              <w:t xml:space="preserve">NA</w:t>
            </w:r>
          </w:p>
        </w:tc>
        <w:tc>
          <w:p>
            <w:pPr>
              <w:pStyle w:val="Compact"/>
              <w:jc w:val="left"/>
            </w:pPr>
            <w:r>
              <w:t xml:space="preserve">Erosion of natural deposits. Vermont Department of Health has established a Health Advisory of 300 ppb. Manganese equal to or greater than 50 ppb can lead to unacceptable taste or staining of fixtures.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PFAS Contaminants</w:t>
            </w:r>
          </w:p>
        </w:tc>
        <w:tc>
          <w:tcPr>
            <w:tcBorders>
              <w:bottom w:val="single"/>
            </w:tcBorders>
            <w:vAlign w:val="bottom"/>
          </w:tcPr>
          <w:p/>
        </w:tc>
      </w:tr>
      <w:tr>
        <w:tc>
          <w:p>
            <w:pPr>
              <w:pStyle w:val="Compact"/>
              <w:jc w:val="left"/>
            </w:pPr>
            <w:r>
              <w:t xml:space="preserve">Typical Source</w:t>
            </w:r>
          </w:p>
        </w:tc>
        <w:tc>
          <w:p>
            <w:pPr>
              <w:pStyle w:val="Compact"/>
              <w:jc w:val="left"/>
            </w:pPr>
            <w:r>
              <w:t xml:space="preserve">A large group of human-made chemicals used widely in manufacturing and consumer products</w:t>
            </w:r>
          </w:p>
        </w:tc>
      </w:tr>
      <w:tr>
        <w:tc>
          <w:p>
            <w:pPr>
              <w:pStyle w:val="Compact"/>
              <w:jc w:val="left"/>
            </w:pPr>
            <w:r>
              <w:t xml:space="preserve">MCL</w:t>
            </w:r>
          </w:p>
        </w:tc>
        <w:tc>
          <w:p>
            <w:pPr>
              <w:pStyle w:val="Compact"/>
              <w:jc w:val="left"/>
            </w:pPr>
            <w:r>
              <w:t xml:space="preserve">20 (individual or sum of the 5 regulated PFAS compounds)</w:t>
            </w:r>
          </w:p>
        </w:tc>
      </w:tr>
      <w:tr>
        <w:tc>
          <w:p>
            <w:pPr>
              <w:pStyle w:val="Compact"/>
              <w:jc w:val="left"/>
            </w:pPr>
            <w:r>
              <w:t xml:space="preserve">Units</w:t>
            </w:r>
          </w:p>
        </w:tc>
        <w:tc>
          <w:p>
            <w:pPr>
              <w:pStyle w:val="Compact"/>
              <w:jc w:val="left"/>
            </w:pPr>
            <w:r>
              <w:t xml:space="preserve">All units in parts per trillion (ppt)</w:t>
            </w:r>
          </w:p>
        </w:tc>
      </w:tr>
      <w:tr>
        <w:tc>
          <w:p>
            <w:pPr>
              <w:pStyle w:val="Compact"/>
              <w:jc w:val="left"/>
            </w:pPr>
            <w:r>
              <w:t xml:space="preserve">ND</w:t>
            </w:r>
          </w:p>
        </w:tc>
        <w:tc>
          <w:p>
            <w:pPr>
              <w:pStyle w:val="Compact"/>
              <w:jc w:val="left"/>
            </w:pPr>
            <w:r>
              <w:t xml:space="preserve">This means the contaminant was not detected at the laboratory Method Reporting Limit.</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PFHpA</w:t>
            </w:r>
          </w:p>
        </w:tc>
        <w:tc>
          <w:tcPr>
            <w:tcBorders>
              <w:bottom w:val="single"/>
            </w:tcBorders>
            <w:vAlign w:val="bottom"/>
          </w:tcPr>
          <w:p>
            <w:pPr>
              <w:pStyle w:val="Compact"/>
              <w:jc w:val="left"/>
            </w:pPr>
            <w:r>
              <w:t xml:space="preserve">PFNA</w:t>
            </w:r>
          </w:p>
        </w:tc>
        <w:tc>
          <w:tcPr>
            <w:tcBorders>
              <w:bottom w:val="single"/>
            </w:tcBorders>
            <w:vAlign w:val="bottom"/>
          </w:tcPr>
          <w:p>
            <w:pPr>
              <w:pStyle w:val="Compact"/>
              <w:jc w:val="left"/>
            </w:pPr>
            <w:r>
              <w:t xml:space="preserve">PFHxS</w:t>
            </w:r>
          </w:p>
        </w:tc>
        <w:tc>
          <w:tcPr>
            <w:tcBorders>
              <w:bottom w:val="single"/>
            </w:tcBorders>
            <w:vAlign w:val="bottom"/>
          </w:tcPr>
          <w:p>
            <w:pPr>
              <w:pStyle w:val="Compact"/>
              <w:jc w:val="left"/>
            </w:pPr>
            <w:r>
              <w:t xml:space="preserve">PFOA</w:t>
            </w:r>
          </w:p>
        </w:tc>
        <w:tc>
          <w:tcPr>
            <w:tcBorders>
              <w:bottom w:val="single"/>
            </w:tcBorders>
            <w:vAlign w:val="bottom"/>
          </w:tcPr>
          <w:p>
            <w:pPr>
              <w:pStyle w:val="Compact"/>
              <w:jc w:val="left"/>
            </w:pPr>
            <w:r>
              <w:t xml:space="preserve">PFOS</w:t>
            </w:r>
          </w:p>
        </w:tc>
        <w:tc>
          <w:tcPr>
            <w:tcBorders>
              <w:bottom w:val="single"/>
            </w:tcBorders>
            <w:vAlign w:val="bottom"/>
          </w:tcPr>
          <w:p>
            <w:pPr>
              <w:pStyle w:val="Compact"/>
              <w:jc w:val="left"/>
            </w:pPr>
            <w:r>
              <w:t xml:space="preserve">Sum of 5 regulated PFAS compounds</w:t>
            </w:r>
          </w:p>
        </w:tc>
      </w:tr>
      <w:tr>
        <w:tc>
          <w:p>
            <w:pPr>
              <w:pStyle w:val="Compact"/>
              <w:jc w:val="left"/>
            </w:pPr>
            <w:r>
              <w:t xml:space="preserve">10/19/2023</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r>
        <w:tc>
          <w:p>
            <w:pPr>
              <w:pStyle w:val="Compact"/>
              <w:jc w:val="left"/>
            </w:pPr>
            <w:r>
              <w:t xml:space="preserve">10/26/2020</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bl>
    <w:p>
      <w:pPr>
        <w:pStyle w:val="BodyText"/>
      </w:pPr>
      <w:r>
        <w:t xml:space="preserve">*Additional PFAS, not regulated by the Vermont Water Supply Rule, may also have been detected in the past five years. Please contact us if you would like more information on other unregulated PFAS that may be in your drinking water.</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Radionuclides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Combined Radium (-226 &amp; -228)</w:t>
            </w:r>
          </w:p>
        </w:tc>
        <w:tc>
          <w:p>
            <w:pPr>
              <w:pStyle w:val="Compact"/>
              <w:jc w:val="left"/>
            </w:pPr>
            <w:r>
              <w:t xml:space="preserve">03/01/2021</w:t>
            </w:r>
          </w:p>
        </w:tc>
        <w:tc>
          <w:p>
            <w:pPr>
              <w:pStyle w:val="Compact"/>
              <w:jc w:val="left"/>
            </w:pPr>
            <w:r>
              <w:t xml:space="preserve">0.604</w:t>
            </w:r>
          </w:p>
        </w:tc>
        <w:tc>
          <w:p>
            <w:pPr>
              <w:pStyle w:val="Compact"/>
              <w:jc w:val="left"/>
            </w:pPr>
            <w:r>
              <w:t xml:space="preserve">0.604 - 0.604</w:t>
            </w:r>
          </w:p>
        </w:tc>
        <w:tc>
          <w:p>
            <w:pPr>
              <w:pStyle w:val="Compact"/>
              <w:jc w:val="left"/>
            </w:pPr>
            <w:r>
              <w:t xml:space="preserve">pCi/L</w:t>
            </w:r>
          </w:p>
        </w:tc>
        <w:tc>
          <w:p>
            <w:pPr>
              <w:pStyle w:val="Compact"/>
              <w:jc w:val="left"/>
            </w:pPr>
            <w:r>
              <w:t xml:space="preserve">5</w:t>
            </w:r>
          </w:p>
        </w:tc>
        <w:tc>
          <w:p>
            <w:pPr>
              <w:pStyle w:val="Compact"/>
              <w:jc w:val="left"/>
            </w:pPr>
            <w:r>
              <w:t xml:space="preserve">0</w:t>
            </w:r>
          </w:p>
        </w:tc>
        <w:tc>
          <w:p>
            <w:pPr>
              <w:pStyle w:val="Compact"/>
              <w:jc w:val="left"/>
            </w:pPr>
            <w:r>
              <w:t xml:space="preserve">Erosion of natural deposits</w:t>
            </w:r>
          </w:p>
        </w:tc>
      </w:tr>
      <w:tr>
        <w:tc>
          <w:p>
            <w:pPr>
              <w:pStyle w:val="Compact"/>
              <w:jc w:val="left"/>
            </w:pPr>
            <w:r>
              <w:t xml:space="preserve">Gross Alpha Particle Activity*</w:t>
            </w:r>
          </w:p>
        </w:tc>
        <w:tc>
          <w:p>
            <w:pPr>
              <w:pStyle w:val="Compact"/>
              <w:jc w:val="left"/>
            </w:pPr>
            <w:r>
              <w:t xml:space="preserve">03/09/2023</w:t>
            </w:r>
          </w:p>
        </w:tc>
        <w:tc>
          <w:p>
            <w:pPr>
              <w:pStyle w:val="Compact"/>
              <w:jc w:val="left"/>
            </w:pPr>
            <w:r>
              <w:t xml:space="preserve">3.4</w:t>
            </w:r>
          </w:p>
        </w:tc>
        <w:tc>
          <w:p>
            <w:pPr>
              <w:pStyle w:val="Compact"/>
              <w:jc w:val="left"/>
            </w:pPr>
            <w:r>
              <w:t xml:space="preserve">3.4 - 3.4</w:t>
            </w:r>
          </w:p>
        </w:tc>
        <w:tc>
          <w:p>
            <w:pPr>
              <w:pStyle w:val="Compact"/>
              <w:jc w:val="left"/>
            </w:pPr>
            <w:r>
              <w:t xml:space="preserve">pCi/L</w:t>
            </w:r>
          </w:p>
        </w:tc>
        <w:tc>
          <w:p>
            <w:pPr>
              <w:pStyle w:val="Compact"/>
              <w:jc w:val="left"/>
            </w:pPr>
            <w:r>
              <w:t xml:space="preserve">NA</w:t>
            </w:r>
          </w:p>
        </w:tc>
        <w:tc>
          <w:p>
            <w:pPr>
              <w:pStyle w:val="Compact"/>
              <w:jc w:val="left"/>
            </w:pPr>
            <w:r>
              <w:t xml:space="preserve">0</w:t>
            </w:r>
          </w:p>
        </w:tc>
        <w:tc>
          <w:p>
            <w:pPr>
              <w:pStyle w:val="Compact"/>
              <w:jc w:val="left"/>
            </w:pPr>
            <w:r>
              <w:t xml:space="preserve">Erosion of natural deposits</w:t>
            </w:r>
          </w:p>
        </w:tc>
      </w:tr>
      <w:tr>
        <w:tc>
          <w:p>
            <w:pPr>
              <w:pStyle w:val="Compact"/>
              <w:jc w:val="left"/>
            </w:pPr>
            <w:r>
              <w:t xml:space="preserve">Radium-228</w:t>
            </w:r>
          </w:p>
        </w:tc>
        <w:tc>
          <w:p>
            <w:pPr>
              <w:pStyle w:val="Compact"/>
              <w:jc w:val="left"/>
            </w:pPr>
            <w:r>
              <w:t xml:space="preserve">03/01/2021</w:t>
            </w:r>
          </w:p>
        </w:tc>
        <w:tc>
          <w:p>
            <w:pPr>
              <w:pStyle w:val="Compact"/>
              <w:jc w:val="left"/>
            </w:pPr>
            <w:r>
              <w:t xml:space="preserve">0.604</w:t>
            </w:r>
          </w:p>
        </w:tc>
        <w:tc>
          <w:p>
            <w:pPr>
              <w:pStyle w:val="Compact"/>
              <w:jc w:val="left"/>
            </w:pPr>
            <w:r>
              <w:t xml:space="preserve">0.604 - 0.604</w:t>
            </w:r>
          </w:p>
        </w:tc>
        <w:tc>
          <w:p>
            <w:pPr>
              <w:pStyle w:val="Compact"/>
              <w:jc w:val="left"/>
            </w:pPr>
            <w:r>
              <w:t xml:space="preserve">pCi/L</w:t>
            </w:r>
          </w:p>
        </w:tc>
        <w:tc>
          <w:p>
            <w:pPr>
              <w:pStyle w:val="Compact"/>
              <w:jc w:val="left"/>
            </w:pPr>
            <w:r>
              <w:t xml:space="preserve">5</w:t>
            </w:r>
          </w:p>
        </w:tc>
        <w:tc>
          <w:p>
            <w:pPr>
              <w:pStyle w:val="Compact"/>
              <w:jc w:val="left"/>
            </w:pPr>
            <w:r>
              <w:t xml:space="preserve">0</w:t>
            </w:r>
          </w:p>
        </w:tc>
        <w:tc>
          <w:p>
            <w:pPr>
              <w:pStyle w:val="Compact"/>
              <w:jc w:val="left"/>
            </w:pPr>
            <w:r>
              <w:t xml:space="preserve">Erosion of natural deposits</w:t>
            </w:r>
          </w:p>
        </w:tc>
      </w:tr>
    </w:tbl>
    <w:p>
      <w:pPr>
        <w:pStyle w:val="BodyText"/>
      </w:pPr>
      <w:r>
        <w:t xml:space="preserve">*Gross Alpha Particle Activity results are unadjusted for other radionuclide contribution, in particular Uranium. The Adjusted Gross Alpha (or AGA) result is then compared to the MCL of 15 pCi/L.</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09/12/2022</w:t>
            </w:r>
          </w:p>
        </w:tc>
        <w:tc>
          <w:p>
            <w:pPr>
              <w:pStyle w:val="Compact"/>
              <w:jc w:val="left"/>
            </w:pPr>
            <w:r>
              <w:t xml:space="preserve">0</w:t>
            </w:r>
          </w:p>
        </w:tc>
        <w:tc>
          <w:p>
            <w:pPr>
              <w:pStyle w:val="Compact"/>
              <w:jc w:val="left"/>
            </w:pPr>
            <w:r>
              <w:t xml:space="preserve">0 - 0</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09/12/2022</w:t>
            </w:r>
          </w:p>
        </w:tc>
        <w:tc>
          <w:p>
            <w:pPr>
              <w:pStyle w:val="Compact"/>
              <w:jc w:val="left"/>
            </w:pPr>
            <w:r>
              <w:t xml:space="preserve">0.014</w:t>
            </w:r>
          </w:p>
        </w:tc>
        <w:tc>
          <w:p>
            <w:pPr>
              <w:pStyle w:val="Compact"/>
              <w:jc w:val="left"/>
            </w:pPr>
            <w:r>
              <w:t xml:space="preserve">0 - 0.027</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violations-that-occurred-during-the-year"/>
      <w:r>
        <w:t xml:space="preserve">Violation(s) that occurred during the year</w:t>
      </w:r>
      <w:bookmarkEnd w:id="33"/>
    </w:p>
    <w:p>
      <w:pPr>
        <w:pStyle w:val="FirstParagraph"/>
      </w:pPr>
      <w:r>
        <w:rPr>
          <w:i/>
        </w:rPr>
        <w:t xml:space="preserve">We are required to monitor your drinking water for specific contaminants on a regular basis. Results of regular monitoring are an indicator of whether or not our drinking water meets health standards. The below table lists any drinking water violations we incurred during 2024. A failure to perform required monitoring means we cannot be sure of the quality of our water during that time.</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Type</w:t>
            </w:r>
          </w:p>
        </w:tc>
        <w:tc>
          <w:tcPr>
            <w:tcBorders>
              <w:bottom w:val="single"/>
            </w:tcBorders>
            <w:vAlign w:val="bottom"/>
          </w:tcPr>
          <w:p>
            <w:pPr>
              <w:pStyle w:val="Compact"/>
              <w:jc w:val="left"/>
            </w:pPr>
            <w:r>
              <w:t xml:space="preserve">Category</w:t>
            </w:r>
          </w:p>
        </w:tc>
        <w:tc>
          <w:tcPr>
            <w:tcBorders>
              <w:bottom w:val="single"/>
            </w:tcBorders>
            <w:vAlign w:val="bottom"/>
          </w:tcPr>
          <w:p>
            <w:pPr>
              <w:pStyle w:val="Compact"/>
              <w:jc w:val="left"/>
            </w:pPr>
            <w:r>
              <w:t xml:space="preserve">Analyte</w:t>
            </w:r>
          </w:p>
        </w:tc>
        <w:tc>
          <w:tcPr>
            <w:tcBorders>
              <w:bottom w:val="single"/>
            </w:tcBorders>
            <w:vAlign w:val="bottom"/>
          </w:tcPr>
          <w:p>
            <w:pPr>
              <w:pStyle w:val="Compact"/>
              <w:jc w:val="left"/>
            </w:pPr>
            <w:r>
              <w:t xml:space="preserve">Compliance Period</w:t>
            </w:r>
          </w:p>
        </w:tc>
      </w:tr>
      <w:tr>
        <w:tc>
          <w:p>
            <w:pPr>
              <w:pStyle w:val="Compact"/>
              <w:jc w:val="left"/>
            </w:pPr>
            <w:r>
              <w:t xml:space="preserve">CCR REPORT</w:t>
            </w:r>
          </w:p>
        </w:tc>
        <w:tc>
          <w:p>
            <w:pPr>
              <w:pStyle w:val="Compact"/>
              <w:jc w:val="left"/>
            </w:pPr>
            <w:r>
              <w:t xml:space="preserve">Failure to Report</w:t>
            </w:r>
          </w:p>
        </w:tc>
        <w:tc>
          <w:p>
            <w:pPr>
              <w:pStyle w:val="Compact"/>
              <w:jc w:val="left"/>
            </w:pPr>
            <w:r>
              <w:t xml:space="preserve">CONSUMER CONFIDENCE RULE</w:t>
            </w:r>
          </w:p>
        </w:tc>
        <w:tc>
          <w:p>
            <w:pPr>
              <w:pStyle w:val="Compact"/>
              <w:jc w:val="left"/>
            </w:pPr>
            <w:r>
              <w:t xml:space="preserve">07/01/2024 -</w:t>
            </w:r>
          </w:p>
        </w:tc>
      </w:tr>
      <w:tr>
        <w:tc>
          <w:p>
            <w:pPr>
              <w:pStyle w:val="Compact"/>
              <w:jc w:val="left"/>
            </w:pPr>
            <w:r>
              <w:t xml:space="preserve">STATE MONITORING/REPORTING VIOLATION</w:t>
            </w:r>
          </w:p>
        </w:tc>
        <w:tc>
          <w:p>
            <w:pPr>
              <w:pStyle w:val="Compact"/>
              <w:jc w:val="left"/>
            </w:pPr>
            <w:r>
              <w:t xml:space="preserve">Failure to Monitor</w:t>
            </w:r>
          </w:p>
        </w:tc>
        <w:tc>
          <w:p>
            <w:pPr>
              <w:pStyle w:val="Compact"/>
              <w:jc w:val="left"/>
            </w:pPr>
            <w:r>
              <w:t xml:space="preserve">Secondaries</w:t>
            </w:r>
          </w:p>
        </w:tc>
        <w:tc>
          <w:p>
            <w:pPr>
              <w:pStyle w:val="Compact"/>
              <w:jc w:val="left"/>
            </w:pPr>
            <w:r>
              <w:t xml:space="preserve">04/01/2024 - 06/30/2024</w:t>
            </w:r>
          </w:p>
        </w:tc>
      </w:tr>
      <w:tr>
        <w:tc>
          <w:p>
            <w:pPr>
              <w:pStyle w:val="Compact"/>
              <w:jc w:val="left"/>
            </w:pPr>
            <w:r>
              <w:t xml:space="preserve">LSL INVENTORY-INITIAL</w:t>
            </w:r>
          </w:p>
        </w:tc>
        <w:tc>
          <w:p>
            <w:pPr>
              <w:pStyle w:val="Compact"/>
              <w:jc w:val="left"/>
            </w:pPr>
            <w:r>
              <w:t xml:space="preserve">Treatment Technique Violation</w:t>
            </w:r>
          </w:p>
        </w:tc>
        <w:tc>
          <w:p>
            <w:pPr>
              <w:pStyle w:val="Compact"/>
              <w:jc w:val="left"/>
            </w:pPr>
            <w:r>
              <w:t xml:space="preserve">LEAD AND COPPER RULE REVISIONS</w:t>
            </w:r>
          </w:p>
        </w:tc>
        <w:tc>
          <w:p>
            <w:pPr>
              <w:pStyle w:val="Compact"/>
              <w:jc w:val="left"/>
            </w:pPr>
            <w:r>
              <w:t xml:space="preserve">10/17/2024 -</w:t>
            </w:r>
          </w:p>
        </w:tc>
      </w:tr>
    </w:tbl>
    <w:p>
      <w:pPr>
        <w:pStyle w:val="BodyText"/>
      </w:pPr>
    </w:p>
    <w:p>
      <w:pPr>
        <w:pStyle w:val="BodyText"/>
      </w:pPr>
      <w:r>
        <w:rPr>
          <w:b/>
        </w:rPr>
        <w:t xml:space="preserve">To be Completed by the Water System.</w:t>
      </w:r>
      <w:r>
        <w:t xml:space="preserve"> </w:t>
      </w:r>
      <w:r>
        <w:rPr>
          <w:i/>
        </w:rPr>
        <w:t xml:space="preserve">List any steps taken to correct the violations listed above:</w:t>
      </w:r>
      <w:r>
        <w:rPr>
          <w:i/>
        </w:rPr>
        <w:t xml:space="preserve"> </w:t>
      </w:r>
      <w:r>
        <w:br/>
      </w:r>
    </w:p>
    <w:p>
      <w:pPr>
        <w:pStyle w:val="BodyText"/>
      </w:pPr>
    </w:p>
    <w:p>
      <w:pPr>
        <w:pStyle w:val="Heading2"/>
      </w:pPr>
      <w:bookmarkStart w:id="34" w:name="X4211a9856e6fc1f1789674f6a55bd9cdd022713"/>
      <w:r>
        <w:t xml:space="preserve">Health Information Regarding Drinking Water</w:t>
      </w:r>
      <w:bookmarkEnd w:id="34"/>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5">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ALPINE HAVEN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ALPINE HAVEN. Information on lead in drinking water, testing methods, and steps you can take to minimize exposure is available at</w:t>
      </w:r>
      <w:r>
        <w:t xml:space="preserve"> </w:t>
      </w:r>
      <w:hyperlink r:id="rId35">
        <w:r>
          <w:rPr>
            <w:rStyle w:val="Hyperlink"/>
          </w:rPr>
          <w:t xml:space="preserve">https://www.epa.gov/safewater/lead</w:t>
        </w:r>
      </w:hyperlink>
      <w:r>
        <w:t xml:space="preserve">.</w:t>
      </w:r>
    </w:p>
    <w:p>
      <w:pPr>
        <w:pStyle w:val="BodyText"/>
      </w:pPr>
      <w:r>
        <w:t xml:space="preserve">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r>
        <w:br/>
      </w:r>
    </w:p>
    <w:p>
      <w:pPr>
        <w:pStyle w:val="Heading2"/>
      </w:pPr>
      <w:bookmarkStart w:id="36" w:name="section-2"/>
      <w:bookmarkEnd w:id="36"/>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5"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5"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2025-03-18T11:39:09Z</dcterms:created>
  <dcterms:modified xsi:type="dcterms:W3CDTF">2025-03-18T11:39:09Z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