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ada57c7a2a42f1c7d751c859a4ac72668f39c4"/>
      <w:r>
        <w:t xml:space="preserve">VT0005201 Consumer Confidence Report Certificate of Delivery 2025</w:t>
      </w:r>
      <w:bookmarkEnd w:id="20"/>
    </w:p>
    <w:p>
      <w:pPr>
        <w:pStyle w:val="Heading6"/>
      </w:pPr>
      <w:bookmarkStart w:id="21" w:name="jay-peak-subdivision-ii"/>
      <w:r>
        <w:t xml:space="preserve">JAY PEAK SUBDIVISION II</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jay-peak-subdivision-ii---vt0005201"/>
      <w:r>
        <w:t xml:space="preserve">JAY PEAK SUBDIVISION II - VT0005201</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3e18fab069d97407a817764d63d07a165f64160"/>
      <w:r>
        <w:t xml:space="preserve">Detected Contaminants JAY PEAK SUBDIVISION II</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0.288</w:t>
            </w:r>
          </w:p>
        </w:tc>
        <w:tc>
          <w:p>
            <w:pPr>
              <w:pStyle w:val="Compact"/>
              <w:jc w:val="left"/>
            </w:pPr>
            <w:r>
              <w:t xml:space="preserve">0.230 - 0.340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01/16/2025</w:t>
            </w:r>
          </w:p>
        </w:tc>
        <w:tc>
          <w:p>
            <w:pPr>
              <w:pStyle w:val="Compact"/>
              <w:jc w:val="left"/>
            </w:pPr>
            <w:r>
              <w:t xml:space="preserve">0.083</w:t>
            </w:r>
          </w:p>
        </w:tc>
        <w:tc>
          <w:p>
            <w:pPr>
              <w:pStyle w:val="Compact"/>
              <w:jc w:val="left"/>
            </w:pPr>
            <w:r>
              <w:t xml:space="preserve">0 - 0.083</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Manganese</w:t>
            </w:r>
          </w:p>
        </w:tc>
        <w:tc>
          <w:p>
            <w:pPr>
              <w:pStyle w:val="Compact"/>
              <w:jc w:val="left"/>
            </w:pPr>
            <w:r>
              <w:t xml:space="preserve">01/16/2025</w:t>
            </w:r>
          </w:p>
        </w:tc>
        <w:tc>
          <w:p>
            <w:pPr>
              <w:pStyle w:val="Compact"/>
              <w:jc w:val="left"/>
            </w:pPr>
            <w:r>
              <w:t xml:space="preserve">290</w:t>
            </w:r>
          </w:p>
        </w:tc>
        <w:tc>
          <w:p>
            <w:pPr>
              <w:pStyle w:val="Compact"/>
              <w:jc w:val="left"/>
            </w:pPr>
            <w:r>
              <w:t xml:space="preserve">0 - 290</w:t>
            </w:r>
          </w:p>
        </w:tc>
        <w:tc>
          <w:p>
            <w:pPr>
              <w:pStyle w:val="Compact"/>
              <w:jc w:val="left"/>
            </w:pPr>
            <w:r>
              <w:t xml:space="preserve">ppb</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 Vermont Department of Health has established a Health Advisory of 300 ppb. Manganese equal to or greater than 50 ppb can lead to unacceptable taste or staining of fixtures.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12/20/2023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2023</w:t>
            </w:r>
          </w:p>
        </w:tc>
        <w:tc>
          <w:p>
            <w:pPr>
              <w:pStyle w:val="Compact"/>
              <w:jc w:val="left"/>
            </w:pPr>
            <w:r>
              <w:t xml:space="preserve">AIKINS RESIDENCE</w:t>
            </w:r>
          </w:p>
        </w:tc>
        <w:tc>
          <w:p>
            <w:pPr>
              <w:pStyle w:val="Compact"/>
              <w:jc w:val="left"/>
            </w:pPr>
            <w:r>
              <w:t xml:space="preserve">22</w:t>
            </w:r>
          </w:p>
        </w:tc>
        <w:tc>
          <w:p>
            <w:pPr>
              <w:pStyle w:val="Compact"/>
              <w:jc w:val="left"/>
            </w:pPr>
            <w:r>
              <w:t xml:space="preserve">22 - 22</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2023</w:t>
            </w:r>
          </w:p>
        </w:tc>
        <w:tc>
          <w:p>
            <w:pPr>
              <w:pStyle w:val="Compact"/>
              <w:jc w:val="left"/>
            </w:pPr>
            <w:r>
              <w:t xml:space="preserve">AIKINS RESIDENCE</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09/19/2024</w:t>
            </w:r>
          </w:p>
        </w:tc>
        <w:tc>
          <w:p>
            <w:pPr>
              <w:pStyle w:val="Compact"/>
              <w:jc w:val="left"/>
            </w:pPr>
            <w:r>
              <w:t xml:space="preserve">2</w:t>
            </w:r>
          </w:p>
        </w:tc>
        <w:tc>
          <w:p>
            <w:pPr>
              <w:pStyle w:val="Compact"/>
              <w:jc w:val="left"/>
            </w:pPr>
            <w:r>
              <w:t xml:space="preserve">0 - 3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09/19/2024</w:t>
            </w:r>
          </w:p>
        </w:tc>
        <w:tc>
          <w:p>
            <w:pPr>
              <w:pStyle w:val="Compact"/>
              <w:jc w:val="left"/>
            </w:pPr>
            <w:r>
              <w:t xml:space="preserve">0.23</w:t>
            </w:r>
          </w:p>
        </w:tc>
        <w:tc>
          <w:p>
            <w:pPr>
              <w:pStyle w:val="Compact"/>
              <w:jc w:val="left"/>
            </w:pPr>
            <w:r>
              <w:t xml:space="preserve">0 - 0.3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JAY PEAK SUBDIVISION II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JAY PEAK SUBDIVISION II.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2026-03-10T13:38:49Z</dcterms:created>
  <dcterms:modified xsi:type="dcterms:W3CDTF">2026-03-10T13:38:49Z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