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479b046a715e141514c24e130c6d7c045e97cdb"/>
      <w:r>
        <w:t xml:space="preserve">VT0005191 Consumer Confidence Report Certificate of Delivery 2024</w:t>
      </w:r>
      <w:bookmarkEnd w:id="20"/>
    </w:p>
    <w:p>
      <w:pPr>
        <w:pStyle w:val="Heading6"/>
      </w:pPr>
      <w:bookmarkStart w:id="21" w:name="coventry-fire-district-1"/>
      <w:r>
        <w:t xml:space="preserve">COVENTRY FIRE DISTRICT 1</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coventry-fire-district-1---vt0005191"/>
      <w:r>
        <w:t xml:space="preserve">COVENTRY FIRE DISTRICT 1 - VT0005191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8b8b86108d574373c03b4bba9835fb11ed8db12"/>
      <w:r>
        <w:t xml:space="preserve">Detected Contaminants COVENTRY FIRE DISTRICT 1</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0.364</w:t>
            </w:r>
          </w:p>
        </w:tc>
        <w:tc>
          <w:p>
            <w:pPr>
              <w:pStyle w:val="Compact"/>
              <w:jc w:val="left"/>
            </w:pPr>
            <w:r>
              <w:t xml:space="preserve">0.070 - 0.840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Arsenic</w:t>
            </w:r>
          </w:p>
        </w:tc>
        <w:tc>
          <w:p>
            <w:pPr>
              <w:pStyle w:val="Compact"/>
              <w:jc w:val="left"/>
            </w:pPr>
            <w:r>
              <w:t xml:space="preserve">08/21/2024</w:t>
            </w:r>
          </w:p>
        </w:tc>
        <w:tc>
          <w:p>
            <w:pPr>
              <w:pStyle w:val="Compact"/>
              <w:jc w:val="left"/>
            </w:pPr>
            <w:r>
              <w:t xml:space="preserve">2.2</w:t>
            </w:r>
          </w:p>
        </w:tc>
        <w:tc>
          <w:p>
            <w:pPr>
              <w:pStyle w:val="Compact"/>
              <w:jc w:val="left"/>
            </w:pPr>
            <w:r>
              <w:t xml:space="preserve">1.9 - 2.2</w:t>
            </w:r>
          </w:p>
        </w:tc>
        <w:tc>
          <w:p>
            <w:pPr>
              <w:pStyle w:val="Compact"/>
              <w:jc w:val="left"/>
            </w:pPr>
            <w:r>
              <w:t xml:space="preserve">ppb</w:t>
            </w:r>
          </w:p>
        </w:tc>
        <w:tc>
          <w:p>
            <w:pPr>
              <w:pStyle w:val="Compact"/>
              <w:jc w:val="left"/>
            </w:pPr>
            <w:r>
              <w:t xml:space="preserve">10</w:t>
            </w:r>
          </w:p>
        </w:tc>
        <w:tc>
          <w:p>
            <w:pPr>
              <w:pStyle w:val="Compact"/>
              <w:jc w:val="left"/>
            </w:pPr>
            <w:r>
              <w:t xml:space="preserve">0</w:t>
            </w:r>
          </w:p>
        </w:tc>
        <w:tc>
          <w:p>
            <w:pPr>
              <w:pStyle w:val="Compact"/>
              <w:jc w:val="left"/>
            </w:pPr>
            <w:r>
              <w:t xml:space="preserve">Erosion of natural deposits; Runoff from orchards; Runoff from glass and electronics production wastes.</w:t>
            </w:r>
          </w:p>
        </w:tc>
      </w:tr>
      <w:tr>
        <w:tc>
          <w:p>
            <w:pPr>
              <w:pStyle w:val="Compact"/>
              <w:jc w:val="left"/>
            </w:pPr>
            <w:r>
              <w:t xml:space="preserve">Iron</w:t>
            </w:r>
          </w:p>
        </w:tc>
        <w:tc>
          <w:p>
            <w:pPr>
              <w:pStyle w:val="Compact"/>
              <w:jc w:val="left"/>
            </w:pPr>
            <w:r>
              <w:t xml:space="preserve">08/17/2022</w:t>
            </w:r>
          </w:p>
        </w:tc>
        <w:tc>
          <w:p>
            <w:pPr>
              <w:pStyle w:val="Compact"/>
              <w:jc w:val="left"/>
            </w:pPr>
            <w:r>
              <w:t xml:space="preserve">0.06</w:t>
            </w:r>
          </w:p>
        </w:tc>
        <w:tc>
          <w:p>
            <w:pPr>
              <w:pStyle w:val="Compact"/>
              <w:jc w:val="left"/>
            </w:pPr>
            <w:r>
              <w:t xml:space="preserve">0.06 - 0.06</w:t>
            </w:r>
          </w:p>
        </w:tc>
        <w:tc>
          <w:p>
            <w:pPr>
              <w:pStyle w:val="Compact"/>
              <w:jc w:val="left"/>
            </w:pPr>
            <w:r>
              <w:t xml:space="preserve">ppm</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11/15/2023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10/26/2020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01/09/2020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LYNN JACOBS RESIDENCE</w:t>
            </w:r>
          </w:p>
        </w:tc>
        <w:tc>
          <w:p>
            <w:pPr>
              <w:pStyle w:val="Compact"/>
              <w:jc w:val="left"/>
            </w:pPr>
            <w:r>
              <w:t xml:space="preserve">9</w:t>
            </w:r>
          </w:p>
        </w:tc>
        <w:tc>
          <w:p>
            <w:pPr>
              <w:pStyle w:val="Compact"/>
              <w:jc w:val="left"/>
            </w:pPr>
            <w:r>
              <w:t xml:space="preserve">9 - 9</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2023</w:t>
            </w:r>
          </w:p>
        </w:tc>
        <w:tc>
          <w:p>
            <w:pPr>
              <w:pStyle w:val="Compact"/>
              <w:jc w:val="left"/>
            </w:pPr>
            <w:r>
              <w:t xml:space="preserve">COVENTRY COMMUNITY CNTR</w:t>
            </w:r>
          </w:p>
        </w:tc>
        <w:tc>
          <w:p>
            <w:pPr>
              <w:pStyle w:val="Compact"/>
              <w:jc w:val="left"/>
            </w:pPr>
            <w:r>
              <w:t xml:space="preserve">8</w:t>
            </w:r>
          </w:p>
        </w:tc>
        <w:tc>
          <w:p>
            <w:pPr>
              <w:pStyle w:val="Compact"/>
              <w:jc w:val="left"/>
            </w:pPr>
            <w:r>
              <w:t xml:space="preserve">8 - 8</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09/24/2024</w:t>
            </w:r>
          </w:p>
        </w:tc>
        <w:tc>
          <w:p>
            <w:pPr>
              <w:pStyle w:val="Compact"/>
              <w:jc w:val="left"/>
            </w:pPr>
            <w:r>
              <w:t xml:space="preserve">0</w:t>
            </w:r>
          </w:p>
        </w:tc>
        <w:tc>
          <w:p>
            <w:pPr>
              <w:pStyle w:val="Compact"/>
              <w:jc w:val="left"/>
            </w:pPr>
            <w:r>
              <w:t xml:space="preserve">0 - 0</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09/24/2024</w:t>
            </w:r>
          </w:p>
        </w:tc>
        <w:tc>
          <w:p>
            <w:pPr>
              <w:pStyle w:val="Compact"/>
              <w:jc w:val="left"/>
            </w:pPr>
            <w:r>
              <w:t xml:space="preserve">0.14</w:t>
            </w:r>
          </w:p>
        </w:tc>
        <w:tc>
          <w:p>
            <w:pPr>
              <w:pStyle w:val="Compact"/>
              <w:jc w:val="left"/>
            </w:pPr>
            <w:r>
              <w:t xml:space="preserve">0.088 - 0.16</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COVENTRY FIRE DISTRICT 1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COVENTRY FIRE DISTRICT 1.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2025-03-18T11:31:24Z</dcterms:created>
  <dcterms:modified xsi:type="dcterms:W3CDTF">2025-03-18T11:31:24Z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