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1241ed27a6f9fc1ec95cb6bf14d75cc54582267"/>
      <w:r>
        <w:t xml:space="preserve">VT0005117 Consumer Confidence Report Certificate of Delivery 2025</w:t>
      </w:r>
      <w:bookmarkEnd w:id="20"/>
    </w:p>
    <w:p>
      <w:pPr>
        <w:pStyle w:val="Heading6"/>
      </w:pPr>
      <w:bookmarkStart w:id="21" w:name="fairfax-water-dept"/>
      <w:r>
        <w:t xml:space="preserve">FAIRFAX WATER DEPT</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fairfax-water-dept---vt0005117"/>
      <w:r>
        <w:t xml:space="preserve">FAIRFAX WATER DEPT - VT0005117</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WELL</w:t>
            </w:r>
          </w:p>
        </w:tc>
        <w:tc>
          <w:p>
            <w:pPr>
              <w:pStyle w:val="Compact"/>
              <w:jc w:val="left"/>
            </w:pPr>
            <w:r>
              <w:t xml:space="preserve">Groundwater</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fairfax-water-dept"/>
      <w:r>
        <w:t xml:space="preserve">Detected Contaminants FAIRFAX WATER DEPT</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Residual</w:t>
            </w:r>
          </w:p>
        </w:tc>
        <w:tc>
          <w:tcPr>
            <w:tcBorders>
              <w:bottom w:val="single"/>
            </w:tcBorders>
            <w:vAlign w:val="bottom"/>
          </w:tcPr>
          <w:p>
            <w:pPr>
              <w:pStyle w:val="Compact"/>
              <w:jc w:val="left"/>
            </w:pPr>
            <w:r>
              <w:t xml:space="preserve">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MRDL</w:t>
            </w:r>
          </w:p>
        </w:tc>
        <w:tc>
          <w:tcPr>
            <w:tcBorders>
              <w:bottom w:val="single"/>
            </w:tcBorders>
            <w:vAlign w:val="bottom"/>
          </w:tcPr>
          <w:p>
            <w:pPr>
              <w:pStyle w:val="Compact"/>
              <w:jc w:val="left"/>
            </w:pPr>
            <w:r>
              <w:t xml:space="preserve">MRDLG</w:t>
            </w:r>
          </w:p>
        </w:tc>
        <w:tc>
          <w:tcPr>
            <w:tcBorders>
              <w:bottom w:val="single"/>
            </w:tcBorders>
            <w:vAlign w:val="bottom"/>
          </w:tcPr>
          <w:p>
            <w:pPr>
              <w:pStyle w:val="Compact"/>
              <w:jc w:val="left"/>
            </w:pPr>
            <w:r>
              <w:t xml:space="preserve">Typical Source</w:t>
            </w:r>
          </w:p>
        </w:tc>
      </w:tr>
      <w:tr>
        <w:tc>
          <w:p>
            <w:pPr>
              <w:pStyle w:val="Compact"/>
              <w:jc w:val="left"/>
            </w:pPr>
            <w:r>
              <w:t xml:space="preserve">Chlorine</w:t>
            </w:r>
          </w:p>
        </w:tc>
        <w:tc>
          <w:p>
            <w:pPr>
              <w:pStyle w:val="Compact"/>
              <w:jc w:val="left"/>
            </w:pPr>
            <w:r>
              <w:t xml:space="preserve">0.547</w:t>
            </w:r>
          </w:p>
        </w:tc>
        <w:tc>
          <w:p>
            <w:pPr>
              <w:pStyle w:val="Compact"/>
              <w:jc w:val="left"/>
            </w:pPr>
            <w:r>
              <w:t xml:space="preserve">0.070 - 1.120</w:t>
            </w:r>
          </w:p>
        </w:tc>
        <w:tc>
          <w:p>
            <w:pPr>
              <w:pStyle w:val="Compact"/>
              <w:jc w:val="left"/>
            </w:pPr>
            <w:r>
              <w:t xml:space="preserve">mg/l</w:t>
            </w:r>
          </w:p>
        </w:tc>
        <w:tc>
          <w:p>
            <w:pPr>
              <w:pStyle w:val="Compact"/>
              <w:jc w:val="left"/>
            </w:pPr>
            <w:r>
              <w:t xml:space="preserve">4</w:t>
            </w:r>
          </w:p>
        </w:tc>
        <w:tc>
          <w:p>
            <w:pPr>
              <w:pStyle w:val="Compact"/>
              <w:jc w:val="left"/>
            </w:pPr>
            <w:r>
              <w:t xml:space="preserve">4</w:t>
            </w:r>
          </w:p>
        </w:tc>
        <w:tc>
          <w:p>
            <w:pPr>
              <w:pStyle w:val="Compact"/>
              <w:jc w:val="left"/>
            </w:pPr>
            <w:r>
              <w:t xml:space="preserve">Water additive to control microbes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Microbiological</w:t>
            </w:r>
          </w:p>
        </w:tc>
        <w:tc>
          <w:tcPr>
            <w:tcBorders>
              <w:bottom w:val="single"/>
            </w:tcBorders>
            <w:vAlign w:val="bottom"/>
          </w:tcPr>
          <w:p>
            <w:pPr>
              <w:pStyle w:val="Compact"/>
              <w:jc w:val="left"/>
            </w:pPr>
            <w:r>
              <w:t xml:space="preserve">Result</w:t>
            </w:r>
          </w:p>
        </w:tc>
        <w:tc>
          <w:tcPr>
            <w:tcBorders>
              <w:bottom w:val="single"/>
            </w:tcBorders>
            <w:vAlign w:val="bottom"/>
          </w:tcPr>
          <w:p>
            <w:pPr>
              <w:pStyle w:val="Compact"/>
              <w:jc w:val="right"/>
            </w:pPr>
            <w:r>
              <w:t xml:space="preserve">MCL*</w:t>
            </w:r>
          </w:p>
        </w:tc>
        <w:tc>
          <w:tcPr>
            <w:tcBorders>
              <w:bottom w:val="single"/>
            </w:tcBorders>
            <w:vAlign w:val="bottom"/>
          </w:tcPr>
          <w:p>
            <w:pPr>
              <w:pStyle w:val="Compact"/>
              <w:jc w:val="righ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E. coli</w:t>
            </w:r>
          </w:p>
        </w:tc>
        <w:tc>
          <w:p>
            <w:pPr>
              <w:pStyle w:val="Compact"/>
              <w:jc w:val="left"/>
            </w:pPr>
            <w:r>
              <w:t xml:space="preserve">In the month of October, 1 sample(s) returned as positive</w:t>
            </w:r>
          </w:p>
        </w:tc>
        <w:tc>
          <w:p>
            <w:pPr>
              <w:pStyle w:val="Compact"/>
              <w:jc w:val="right"/>
            </w:pPr>
            <w:r>
              <w:t xml:space="preserve">0</w:t>
            </w:r>
          </w:p>
        </w:tc>
        <w:tc>
          <w:p>
            <w:pPr>
              <w:pStyle w:val="Compact"/>
              <w:jc w:val="right"/>
            </w:pPr>
            <w:r>
              <w:t xml:space="preserve">0</w:t>
            </w:r>
          </w:p>
        </w:tc>
        <w:tc>
          <w:p>
            <w:pPr>
              <w:pStyle w:val="Compact"/>
              <w:jc w:val="left"/>
            </w:pPr>
            <w:r>
              <w:t xml:space="preserve">Human and animal fecal waste</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Chemical Contaminants</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Highest Value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Arsenic</w:t>
            </w:r>
          </w:p>
        </w:tc>
        <w:tc>
          <w:p>
            <w:pPr>
              <w:pStyle w:val="Compact"/>
              <w:jc w:val="left"/>
            </w:pPr>
            <w:r>
              <w:t xml:space="preserve">09/30/2024</w:t>
            </w:r>
          </w:p>
        </w:tc>
        <w:tc>
          <w:p>
            <w:pPr>
              <w:pStyle w:val="Compact"/>
              <w:jc w:val="left"/>
            </w:pPr>
            <w:r>
              <w:t xml:space="preserve">1.1</w:t>
            </w:r>
          </w:p>
        </w:tc>
        <w:tc>
          <w:p>
            <w:pPr>
              <w:pStyle w:val="Compact"/>
              <w:jc w:val="left"/>
            </w:pPr>
            <w:r>
              <w:t xml:space="preserve">1.1 - 1.1</w:t>
            </w:r>
          </w:p>
        </w:tc>
        <w:tc>
          <w:p>
            <w:pPr>
              <w:pStyle w:val="Compact"/>
              <w:jc w:val="left"/>
            </w:pPr>
            <w:r>
              <w:t xml:space="preserve">ppb</w:t>
            </w:r>
          </w:p>
        </w:tc>
        <w:tc>
          <w:p>
            <w:pPr>
              <w:pStyle w:val="Compact"/>
              <w:jc w:val="left"/>
            </w:pPr>
            <w:r>
              <w:t xml:space="preserve">10</w:t>
            </w:r>
          </w:p>
        </w:tc>
        <w:tc>
          <w:p>
            <w:pPr>
              <w:pStyle w:val="Compact"/>
              <w:jc w:val="left"/>
            </w:pPr>
            <w:r>
              <w:t xml:space="preserve">0</w:t>
            </w:r>
          </w:p>
        </w:tc>
        <w:tc>
          <w:p>
            <w:pPr>
              <w:pStyle w:val="Compact"/>
              <w:jc w:val="left"/>
            </w:pPr>
            <w:r>
              <w:t xml:space="preserve">Erosion of natural deposits; Runoff from orchards; Runoff from glass and electronics production wastes.</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PFAS Contaminants</w:t>
            </w:r>
          </w:p>
        </w:tc>
        <w:tc>
          <w:tcPr>
            <w:tcBorders>
              <w:bottom w:val="single"/>
            </w:tcBorders>
            <w:vAlign w:val="bottom"/>
          </w:tcPr>
          <w:p/>
        </w:tc>
      </w:tr>
      <w:tr>
        <w:tc>
          <w:p>
            <w:pPr>
              <w:pStyle w:val="Compact"/>
              <w:jc w:val="left"/>
            </w:pPr>
            <w:r>
              <w:t xml:space="preserve">Typical Source</w:t>
            </w:r>
          </w:p>
        </w:tc>
        <w:tc>
          <w:p>
            <w:pPr>
              <w:pStyle w:val="Compact"/>
              <w:jc w:val="left"/>
            </w:pPr>
            <w:r>
              <w:t xml:space="preserve">Discharge from manufacturing and industrial chemical facilities, use of certain consumer products, occupational exposers, and certain firefighting activities</w:t>
            </w:r>
          </w:p>
        </w:tc>
      </w:tr>
      <w:tr>
        <w:tc>
          <w:p>
            <w:pPr>
              <w:pStyle w:val="Compact"/>
              <w:jc w:val="left"/>
            </w:pPr>
            <w:r>
              <w:t xml:space="preserve">MCL</w:t>
            </w:r>
          </w:p>
        </w:tc>
        <w:tc>
          <w:p>
            <w:pPr>
              <w:pStyle w:val="Compact"/>
              <w:jc w:val="left"/>
            </w:pPr>
            <w:r>
              <w:t xml:space="preserve">20 (individual or sum of the 5 regulated PFAS compounds)</w:t>
            </w:r>
          </w:p>
        </w:tc>
      </w:tr>
      <w:tr>
        <w:tc>
          <w:p>
            <w:pPr>
              <w:pStyle w:val="Compact"/>
              <w:jc w:val="left"/>
            </w:pPr>
            <w:r>
              <w:t xml:space="preserve">Units</w:t>
            </w:r>
          </w:p>
        </w:tc>
        <w:tc>
          <w:p>
            <w:pPr>
              <w:pStyle w:val="Compact"/>
              <w:jc w:val="left"/>
            </w:pPr>
            <w:r>
              <w:t xml:space="preserve">All units in parts per trillion (ppt)</w:t>
            </w:r>
          </w:p>
        </w:tc>
      </w:tr>
      <w:tr>
        <w:tc>
          <w:p>
            <w:pPr>
              <w:pStyle w:val="Compact"/>
              <w:jc w:val="left"/>
            </w:pPr>
            <w:r>
              <w:t xml:space="preserve">ND</w:t>
            </w:r>
          </w:p>
        </w:tc>
        <w:tc>
          <w:p>
            <w:pPr>
              <w:pStyle w:val="Compact"/>
              <w:jc w:val="left"/>
            </w:pPr>
            <w:r>
              <w:t xml:space="preserve">This means the contaminant was not detected at the laboratory Method Reporting Limit.</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PFHpA</w:t>
            </w:r>
          </w:p>
        </w:tc>
        <w:tc>
          <w:tcPr>
            <w:tcBorders>
              <w:bottom w:val="single"/>
            </w:tcBorders>
            <w:vAlign w:val="bottom"/>
          </w:tcPr>
          <w:p>
            <w:pPr>
              <w:pStyle w:val="Compact"/>
              <w:jc w:val="left"/>
            </w:pPr>
            <w:r>
              <w:t xml:space="preserve">PFNA</w:t>
            </w:r>
          </w:p>
        </w:tc>
        <w:tc>
          <w:tcPr>
            <w:tcBorders>
              <w:bottom w:val="single"/>
            </w:tcBorders>
            <w:vAlign w:val="bottom"/>
          </w:tcPr>
          <w:p>
            <w:pPr>
              <w:pStyle w:val="Compact"/>
              <w:jc w:val="left"/>
            </w:pPr>
            <w:r>
              <w:t xml:space="preserve">PFHxS</w:t>
            </w:r>
          </w:p>
        </w:tc>
        <w:tc>
          <w:tcPr>
            <w:tcBorders>
              <w:bottom w:val="single"/>
            </w:tcBorders>
            <w:vAlign w:val="bottom"/>
          </w:tcPr>
          <w:p>
            <w:pPr>
              <w:pStyle w:val="Compact"/>
              <w:jc w:val="left"/>
            </w:pPr>
            <w:r>
              <w:t xml:space="preserve">PFOA</w:t>
            </w:r>
          </w:p>
        </w:tc>
        <w:tc>
          <w:tcPr>
            <w:tcBorders>
              <w:bottom w:val="single"/>
            </w:tcBorders>
            <w:vAlign w:val="bottom"/>
          </w:tcPr>
          <w:p>
            <w:pPr>
              <w:pStyle w:val="Compact"/>
              <w:jc w:val="left"/>
            </w:pPr>
            <w:r>
              <w:t xml:space="preserve">PFOS</w:t>
            </w:r>
          </w:p>
        </w:tc>
        <w:tc>
          <w:tcPr>
            <w:tcBorders>
              <w:bottom w:val="single"/>
            </w:tcBorders>
            <w:vAlign w:val="bottom"/>
          </w:tcPr>
          <w:p>
            <w:pPr>
              <w:pStyle w:val="Compact"/>
              <w:jc w:val="left"/>
            </w:pPr>
            <w:r>
              <w:t xml:space="preserve">Sum of 5 regulated PFAS compounds</w:t>
            </w:r>
          </w:p>
        </w:tc>
      </w:tr>
      <w:tr>
        <w:tc>
          <w:p>
            <w:pPr>
              <w:pStyle w:val="Compact"/>
              <w:jc w:val="left"/>
            </w:pPr>
            <w:r>
              <w:t xml:space="preserve">06/23/2023</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c>
          <w:p>
            <w:pPr>
              <w:pStyle w:val="Compact"/>
              <w:jc w:val="left"/>
            </w:pPr>
            <w:r>
              <w:t xml:space="preserve">ND</w:t>
            </w:r>
          </w:p>
        </w:tc>
      </w:tr>
    </w:tbl>
    <w:p>
      <w:pPr>
        <w:pStyle w:val="BodyText"/>
      </w:pPr>
      <w:r>
        <w:t xml:space="preserve">*Additional PFAS, not regulated by the Vermont Water Supply Rule, may also have been detected in the past five years. Please contact us if you would like more information on other unregulated PFAS that may be in your drinking water.</w:t>
      </w:r>
      <w:r>
        <w:br/>
      </w:r>
      <w:r>
        <w:br/>
      </w:r>
      <w:r>
        <w:t xml:space="preserve">**Changes to the regulation of PFAS have been implemented beginning in 2026. You will be notified directly if any exceedance of the new standards has occurred.</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2024</w:t>
            </w:r>
          </w:p>
        </w:tc>
        <w:tc>
          <w:p>
            <w:pPr>
              <w:pStyle w:val="Compact"/>
              <w:jc w:val="left"/>
            </w:pPr>
            <w:r>
              <w:t xml:space="preserve">14 HAWLEY RD</w:t>
            </w:r>
          </w:p>
        </w:tc>
        <w:tc>
          <w:p>
            <w:pPr>
              <w:pStyle w:val="Compact"/>
              <w:jc w:val="left"/>
            </w:pPr>
            <w:r>
              <w:t xml:space="preserve">16</w:t>
            </w:r>
          </w:p>
        </w:tc>
        <w:tc>
          <w:p>
            <w:pPr>
              <w:pStyle w:val="Compact"/>
              <w:jc w:val="left"/>
            </w:pPr>
            <w:r>
              <w:t xml:space="preserve">16 - 16</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09/12/2025</w:t>
            </w:r>
          </w:p>
        </w:tc>
        <w:tc>
          <w:p>
            <w:pPr>
              <w:pStyle w:val="Compact"/>
              <w:jc w:val="left"/>
            </w:pPr>
            <w:r>
              <w:t xml:space="preserve">0</w:t>
            </w:r>
          </w:p>
        </w:tc>
        <w:tc>
          <w:p>
            <w:pPr>
              <w:pStyle w:val="Compact"/>
              <w:jc w:val="left"/>
            </w:pPr>
            <w:r>
              <w:t xml:space="preserve">0 - 1.3</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09/12/2025</w:t>
            </w:r>
          </w:p>
        </w:tc>
        <w:tc>
          <w:p>
            <w:pPr>
              <w:pStyle w:val="Compact"/>
              <w:jc w:val="left"/>
            </w:pPr>
            <w:r>
              <w:t xml:space="preserve">0.073</w:t>
            </w:r>
          </w:p>
        </w:tc>
        <w:tc>
          <w:p>
            <w:pPr>
              <w:pStyle w:val="Compact"/>
              <w:jc w:val="left"/>
            </w:pPr>
            <w:r>
              <w:t xml:space="preserve">0 - 0.48</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violations-that-occurred-during-the-year"/>
      <w:r>
        <w:t xml:space="preserve">Violation(s) that occurred during the year</w:t>
      </w:r>
      <w:bookmarkEnd w:id="33"/>
    </w:p>
    <w:p>
      <w:pPr>
        <w:pStyle w:val="FirstParagraph"/>
      </w:pPr>
      <w:r>
        <w:rPr>
          <w:i/>
        </w:rPr>
        <w:t xml:space="preserve">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type="pct" w:w="0.0"/>
        <w:tblLook w:firstRow="1"/>
      </w:tblPr>
      <w:tblGrid/>
      <w:tr>
        <w:trPr>
          <w:cnfStyle w:firstRow="1"/>
        </w:trPr>
        <w:tc>
          <w:tcPr>
            <w:tcBorders>
              <w:bottom w:val="single"/>
            </w:tcBorders>
            <w:vAlign w:val="bottom"/>
          </w:tcPr>
          <w:p>
            <w:pPr>
              <w:pStyle w:val="Compact"/>
              <w:jc w:val="left"/>
            </w:pPr>
            <w:r>
              <w:t xml:space="preserve">Type</w:t>
            </w:r>
          </w:p>
        </w:tc>
        <w:tc>
          <w:tcPr>
            <w:tcBorders>
              <w:bottom w:val="single"/>
            </w:tcBorders>
            <w:vAlign w:val="bottom"/>
          </w:tcPr>
          <w:p>
            <w:pPr>
              <w:pStyle w:val="Compact"/>
              <w:jc w:val="left"/>
            </w:pPr>
            <w:r>
              <w:t xml:space="preserve">Category</w:t>
            </w:r>
          </w:p>
        </w:tc>
        <w:tc>
          <w:tcPr>
            <w:tcBorders>
              <w:bottom w:val="single"/>
            </w:tcBorders>
            <w:vAlign w:val="bottom"/>
          </w:tcPr>
          <w:p>
            <w:pPr>
              <w:pStyle w:val="Compact"/>
              <w:jc w:val="left"/>
            </w:pPr>
            <w:r>
              <w:t xml:space="preserve">Analyte</w:t>
            </w:r>
          </w:p>
        </w:tc>
        <w:tc>
          <w:tcPr>
            <w:tcBorders>
              <w:bottom w:val="single"/>
            </w:tcBorders>
            <w:vAlign w:val="bottom"/>
          </w:tcPr>
          <w:p>
            <w:pPr>
              <w:pStyle w:val="Compact"/>
              <w:jc w:val="left"/>
            </w:pPr>
            <w:r>
              <w:t xml:space="preserve">Compliance Period</w:t>
            </w:r>
          </w:p>
        </w:tc>
      </w:tr>
      <w:tr>
        <w:tc>
          <w:p>
            <w:pPr>
              <w:pStyle w:val="Compact"/>
              <w:jc w:val="left"/>
            </w:pPr>
            <w:r>
              <w:t xml:space="preserve">MONITORING, ROUTINE MAJOR</w:t>
            </w:r>
          </w:p>
        </w:tc>
        <w:tc>
          <w:p>
            <w:pPr>
              <w:pStyle w:val="Compact"/>
              <w:jc w:val="left"/>
            </w:pPr>
            <w:r>
              <w:t xml:space="preserve">Failure to Monitor</w:t>
            </w:r>
          </w:p>
        </w:tc>
        <w:tc>
          <w:p>
            <w:pPr>
              <w:pStyle w:val="Compact"/>
              <w:jc w:val="left"/>
            </w:pPr>
            <w:r>
              <w:t xml:space="preserve">Nitrate</w:t>
            </w:r>
          </w:p>
        </w:tc>
        <w:tc>
          <w:p>
            <w:pPr>
              <w:pStyle w:val="Compact"/>
              <w:jc w:val="left"/>
            </w:pPr>
            <w:r>
              <w:t xml:space="preserve">07/01/2025 - 09/30/2025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02/01/2025 - 02/28/2025</w:t>
            </w:r>
          </w:p>
        </w:tc>
      </w:tr>
      <w:tr>
        <w:tc>
          <w:p>
            <w:pPr>
              <w:pStyle w:val="Compact"/>
              <w:jc w:val="left"/>
            </w:pPr>
            <w:r>
              <w:t xml:space="preserve">MONITORING, ROUTINE, MAJOR (RTCR)</w:t>
            </w:r>
          </w:p>
        </w:tc>
        <w:tc>
          <w:p>
            <w:pPr>
              <w:pStyle w:val="Compact"/>
              <w:jc w:val="left"/>
            </w:pPr>
            <w:r>
              <w:t xml:space="preserve">Failure to Monitor</w:t>
            </w:r>
          </w:p>
        </w:tc>
        <w:tc>
          <w:p>
            <w:pPr>
              <w:pStyle w:val="Compact"/>
              <w:jc w:val="left"/>
            </w:pPr>
            <w:r>
              <w:t xml:space="preserve">E. COLI</w:t>
            </w:r>
          </w:p>
        </w:tc>
        <w:tc>
          <w:p>
            <w:pPr>
              <w:pStyle w:val="Compact"/>
              <w:jc w:val="left"/>
            </w:pPr>
            <w:r>
              <w:t xml:space="preserve">11/01/2025 - 11/30/2025</w:t>
            </w:r>
          </w:p>
        </w:tc>
      </w:tr>
    </w:tbl>
    <w:p>
      <w:pPr>
        <w:pStyle w:val="BodyText"/>
      </w:pPr>
    </w:p>
    <w:p>
      <w:pPr>
        <w:pStyle w:val="BodyText"/>
      </w:pPr>
      <w:r>
        <w:rPr>
          <w:b/>
        </w:rPr>
        <w:t xml:space="preserve">To be Completed by the Water System.</w:t>
      </w:r>
      <w:r>
        <w:t xml:space="preserve"> </w:t>
      </w:r>
      <w:r>
        <w:rPr>
          <w:i/>
        </w:rPr>
        <w:t xml:space="preserve">List any steps taken to correct the violations listed above:</w:t>
      </w:r>
      <w:r>
        <w:rPr>
          <w:i/>
        </w:rPr>
        <w:t xml:space="preserve"> </w:t>
      </w:r>
      <w:r>
        <w:br/>
      </w:r>
    </w:p>
    <w:p>
      <w:pPr>
        <w:pStyle w:val="BodyText"/>
      </w:pPr>
    </w:p>
    <w:p>
      <w:pPr>
        <w:pStyle w:val="Heading2"/>
      </w:pPr>
      <w:bookmarkStart w:id="34" w:name="X4211a9856e6fc1f1789674f6a55bd9cdd022713"/>
      <w:r>
        <w:t xml:space="preserve">Health Information Regarding Drinking Water</w:t>
      </w:r>
      <w:bookmarkEnd w:id="34"/>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FAIRFAX WATER DEPT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FAIRFAX WATER DEPT. Information on lead in drinking water, testing methods, and steps you can take to minimize exposure is available at</w:t>
      </w:r>
      <w:r>
        <w:t xml:space="preserve"> </w:t>
      </w:r>
      <w:hyperlink r:id="rId35">
        <w:r>
          <w:rPr>
            <w:rStyle w:val="Hyperlink"/>
          </w:rPr>
          <w:t xml:space="preserve">https://www.epa.gov/safewater/lead</w:t>
        </w:r>
      </w:hyperlink>
      <w:r>
        <w:t xml:space="preserve">.</w:t>
      </w:r>
    </w:p>
    <w:p>
      <w:pPr>
        <w:pStyle w:val="Heading2"/>
      </w:pPr>
      <w:bookmarkStart w:id="36" w:name="section-2"/>
      <w:bookmarkEnd w:id="36"/>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5"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2026-03-10T13:29:48Z</dcterms:created>
  <dcterms:modified xsi:type="dcterms:W3CDTF">2026-03-10T13:29:48Z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