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9d34efb417aada3b0790b339bbed887ee0aa190"/>
      <w:r>
        <w:t xml:space="preserve">VT0005076 Consumer Confidence Report Certificate of Delivery 2024</w:t>
      </w:r>
      <w:bookmarkEnd w:id="20"/>
    </w:p>
    <w:p>
      <w:pPr>
        <w:pStyle w:val="Heading6"/>
      </w:pPr>
      <w:bookmarkStart w:id="21" w:name="huntington-fire-district-1"/>
      <w:r>
        <w:t xml:space="preserve">HUNTINGTON FIRE DISTRICT 1</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huntington-fire-district-1---vt0005076"/>
      <w:r>
        <w:t xml:space="preserve">HUNTINGTON FIRE DISTRICT 1 - VT0005076</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2e2c0484f5c33b25c81e3a18fa77616aedd2ec3"/>
      <w:r>
        <w:t xml:space="preserve">Detected Contaminants HUNTINGTON FIRE DISTRICT 1</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0.218</w:t>
            </w:r>
          </w:p>
        </w:tc>
        <w:tc>
          <w:p>
            <w:pPr>
              <w:pStyle w:val="Compact"/>
              <w:jc w:val="left"/>
            </w:pPr>
            <w:r>
              <w:t xml:space="preserve">0.050 - 0.900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Arsenic</w:t>
            </w:r>
          </w:p>
        </w:tc>
        <w:tc>
          <w:p>
            <w:pPr>
              <w:pStyle w:val="Compact"/>
              <w:jc w:val="left"/>
            </w:pPr>
            <w:r>
              <w:t xml:space="preserve">02/12/2020</w:t>
            </w:r>
          </w:p>
        </w:tc>
        <w:tc>
          <w:p>
            <w:pPr>
              <w:pStyle w:val="Compact"/>
              <w:jc w:val="left"/>
            </w:pPr>
            <w:r>
              <w:t xml:space="preserve">1.4</w:t>
            </w:r>
          </w:p>
        </w:tc>
        <w:tc>
          <w:p>
            <w:pPr>
              <w:pStyle w:val="Compact"/>
              <w:jc w:val="left"/>
            </w:pPr>
            <w:r>
              <w:t xml:space="preserve">1.4 - 1.4</w:t>
            </w:r>
          </w:p>
        </w:tc>
        <w:tc>
          <w:p>
            <w:pPr>
              <w:pStyle w:val="Compact"/>
              <w:jc w:val="left"/>
            </w:pPr>
            <w:r>
              <w:t xml:space="preserve">ppb</w:t>
            </w:r>
          </w:p>
        </w:tc>
        <w:tc>
          <w:p>
            <w:pPr>
              <w:pStyle w:val="Compact"/>
              <w:jc w:val="left"/>
            </w:pPr>
            <w:r>
              <w:t xml:space="preserve">10</w:t>
            </w:r>
          </w:p>
        </w:tc>
        <w:tc>
          <w:p>
            <w:pPr>
              <w:pStyle w:val="Compact"/>
              <w:jc w:val="left"/>
            </w:pPr>
            <w:r>
              <w:t xml:space="preserve">0</w:t>
            </w:r>
          </w:p>
        </w:tc>
        <w:tc>
          <w:p>
            <w:pPr>
              <w:pStyle w:val="Compact"/>
              <w:jc w:val="left"/>
            </w:pPr>
            <w:r>
              <w:t xml:space="preserve">Erosion of natural deposits; Runoff from orchards; Runoff from glass and electronics production wastes.</w:t>
            </w:r>
          </w:p>
        </w:tc>
      </w:tr>
      <w:tr>
        <w:tc>
          <w:p>
            <w:pPr>
              <w:pStyle w:val="Compact"/>
              <w:jc w:val="left"/>
            </w:pPr>
            <w:r>
              <w:t xml:space="preserve">Iron</w:t>
            </w:r>
          </w:p>
        </w:tc>
        <w:tc>
          <w:p>
            <w:pPr>
              <w:pStyle w:val="Compact"/>
              <w:jc w:val="left"/>
            </w:pPr>
            <w:r>
              <w:t xml:space="preserve">01/09/2023</w:t>
            </w:r>
          </w:p>
        </w:tc>
        <w:tc>
          <w:p>
            <w:pPr>
              <w:pStyle w:val="Compact"/>
              <w:jc w:val="left"/>
            </w:pPr>
            <w:r>
              <w:t xml:space="preserve">0.14</w:t>
            </w:r>
          </w:p>
        </w:tc>
        <w:tc>
          <w:p>
            <w:pPr>
              <w:pStyle w:val="Compact"/>
              <w:jc w:val="left"/>
            </w:pPr>
            <w:r>
              <w:t xml:space="preserve">0.14 - 0.14</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01/09/2023</w:t>
            </w:r>
          </w:p>
        </w:tc>
        <w:tc>
          <w:p>
            <w:pPr>
              <w:pStyle w:val="Compact"/>
              <w:jc w:val="left"/>
            </w:pPr>
            <w:r>
              <w:t xml:space="preserve">117</w:t>
            </w:r>
          </w:p>
        </w:tc>
        <w:tc>
          <w:p>
            <w:pPr>
              <w:pStyle w:val="Compact"/>
              <w:jc w:val="left"/>
            </w:pPr>
            <w:r>
              <w:t xml:space="preserve">117 - 117</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11/02/2023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11/03/2020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01/08/2020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2020</w:t>
            </w:r>
          </w:p>
        </w:tc>
        <w:tc>
          <w:p>
            <w:pPr>
              <w:pStyle w:val="Compact"/>
              <w:jc w:val="left"/>
            </w:pPr>
            <w:r>
              <w:t xml:space="preserve">SOUTH BLOWOFF VALVE ON ROBERTS PARK</w:t>
            </w:r>
          </w:p>
        </w:tc>
        <w:tc>
          <w:p>
            <w:pPr>
              <w:pStyle w:val="Compact"/>
              <w:jc w:val="left"/>
            </w:pPr>
            <w:r>
              <w:t xml:space="preserve">3</w:t>
            </w:r>
          </w:p>
        </w:tc>
        <w:tc>
          <w:p>
            <w:pPr>
              <w:pStyle w:val="Compact"/>
              <w:jc w:val="left"/>
            </w:pPr>
            <w:r>
              <w:t xml:space="preserve">3 - 3</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09/04/2023 - 09/11/2023</w:t>
            </w:r>
          </w:p>
        </w:tc>
        <w:tc>
          <w:p>
            <w:pPr>
              <w:pStyle w:val="Compact"/>
              <w:jc w:val="left"/>
            </w:pPr>
            <w:r>
              <w:t xml:space="preserve">3</w:t>
            </w:r>
          </w:p>
        </w:tc>
        <w:tc>
          <w:p>
            <w:pPr>
              <w:pStyle w:val="Compact"/>
              <w:jc w:val="left"/>
            </w:pPr>
            <w:r>
              <w:t xml:space="preserve">0 - 4</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09/04/2023 - 09/11/2023</w:t>
            </w:r>
          </w:p>
        </w:tc>
        <w:tc>
          <w:p>
            <w:pPr>
              <w:pStyle w:val="Compact"/>
              <w:jc w:val="left"/>
            </w:pPr>
            <w:r>
              <w:t xml:space="preserve">0.08</w:t>
            </w:r>
          </w:p>
        </w:tc>
        <w:tc>
          <w:p>
            <w:pPr>
              <w:pStyle w:val="Compact"/>
              <w:jc w:val="left"/>
            </w:pPr>
            <w:r>
              <w:t xml:space="preserve">0.04 - 0.08</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WQP LEVEL NON-COMPLIANCE (LCR)</w:t>
            </w:r>
          </w:p>
        </w:tc>
        <w:tc>
          <w:p>
            <w:pPr>
              <w:pStyle w:val="Compact"/>
              <w:jc w:val="left"/>
            </w:pPr>
            <w:r>
              <w:t xml:space="preserve">Treatment Technique Violation</w:t>
            </w:r>
          </w:p>
        </w:tc>
        <w:tc>
          <w:p>
            <w:pPr>
              <w:pStyle w:val="Compact"/>
              <w:jc w:val="left"/>
            </w:pPr>
            <w:r>
              <w:t xml:space="preserve">LEAD &amp; COPPER RULE</w:t>
            </w:r>
          </w:p>
        </w:tc>
        <w:tc>
          <w:p>
            <w:pPr>
              <w:pStyle w:val="Compact"/>
              <w:jc w:val="left"/>
            </w:pPr>
            <w:r>
              <w:t xml:space="preserve">01/01/2024 - 06/30/2024</w:t>
            </w:r>
          </w:p>
        </w:tc>
      </w:tr>
      <w:tr>
        <w:tc>
          <w:p>
            <w:pPr>
              <w:pStyle w:val="Compact"/>
              <w:jc w:val="left"/>
            </w:pPr>
            <w:r>
              <w:t xml:space="preserve">WQP LEVEL NON-COMPLIANCE (LCR)</w:t>
            </w:r>
          </w:p>
        </w:tc>
        <w:tc>
          <w:p>
            <w:pPr>
              <w:pStyle w:val="Compact"/>
              <w:jc w:val="left"/>
            </w:pPr>
            <w:r>
              <w:t xml:space="preserve">Treatment Technique Violation</w:t>
            </w:r>
          </w:p>
        </w:tc>
        <w:tc>
          <w:p>
            <w:pPr>
              <w:pStyle w:val="Compact"/>
              <w:jc w:val="left"/>
            </w:pPr>
            <w:r>
              <w:t xml:space="preserve">LEAD &amp; COPPER RULE</w:t>
            </w:r>
          </w:p>
        </w:tc>
        <w:tc>
          <w:p>
            <w:pPr>
              <w:pStyle w:val="Compact"/>
              <w:jc w:val="left"/>
            </w:pPr>
            <w:r>
              <w:t xml:space="preserve">07/01/2024 - 12/31/2024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level-1-assessment"/>
      <w:r>
        <w:t xml:space="preserve">Level 1 Assessment</w:t>
      </w:r>
      <w:bookmarkEnd w:id="34"/>
    </w:p>
    <w:p>
      <w:pPr>
        <w:pStyle w:val="FirstParagraph"/>
      </w:pPr>
      <w:r>
        <w:t xml:space="preserve">Because we found coliforms during sampling, we were required to conduct an assessment of the system, also known as a Level 1 assessment, to identify possible sources of contamination. One Level 1 Assessment was completed. In addition, we were required to take [INSERT NUMBER OF CORRECTIVE ACTIONS] corrective actions and we completed [INSERT NUMBER OF CORRECTIVE ACTIONS] of these actions.</w:t>
      </w:r>
      <w:r>
        <w:br/>
      </w:r>
    </w:p>
    <w:p>
      <w:pPr>
        <w:pStyle w:val="Heading2"/>
      </w:pPr>
      <w:bookmarkStart w:id="35" w:name="X4211a9856e6fc1f1789674f6a55bd9cdd022713"/>
      <w:r>
        <w:t xml:space="preserve">Health Information Regarding Drinking Water</w:t>
      </w:r>
      <w:bookmarkEnd w:id="35"/>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6">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HUNTINGTON FIRE DISTRICT 1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HUNTINGTON FIRE DISTRICT 1. Information on lead in drinking water, testing methods, and steps you can take to minimize exposure is available at</w:t>
      </w:r>
      <w:r>
        <w:t xml:space="preserve"> </w:t>
      </w:r>
      <w:hyperlink r:id="rId36">
        <w:r>
          <w:rPr>
            <w:rStyle w:val="Hyperlink"/>
          </w:rPr>
          <w:t xml:space="preserve">https://www.epa.gov/safewater/lead</w:t>
        </w:r>
      </w:hyperlink>
      <w:r>
        <w:t xml:space="preserve">.</w:t>
      </w:r>
    </w:p>
    <w:p>
      <w:pPr>
        <w:pStyle w:val="BodyText"/>
      </w:pPr>
      <w: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br/>
      </w:r>
    </w:p>
    <w:p>
      <w:pPr>
        <w:pStyle w:val="BodyText"/>
      </w:pPr>
      <w: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r>
        <w:br/>
      </w:r>
    </w:p>
    <w:p>
      <w:pPr>
        <w:pStyle w:val="Heading2"/>
      </w:pPr>
      <w:bookmarkStart w:id="37" w:name="section-2"/>
      <w:bookmarkEnd w:id="37"/>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6"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6"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2025-03-18T10:42:08Z</dcterms:created>
  <dcterms:modified xsi:type="dcterms:W3CDTF">2025-03-18T10:42:08Z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