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f5e572c36affb9e1cffd0e7ea74374287ef927f"/>
      <w:r>
        <w:t xml:space="preserve">VT0005057 Consumer Confidence Report Certificate of Delivery 2023</w:t>
      </w:r>
      <w:bookmarkEnd w:id="20"/>
    </w:p>
    <w:p>
      <w:pPr>
        <w:pStyle w:val="Heading6"/>
      </w:pPr>
      <w:bookmarkStart w:id="21" w:name="hillcrest-mhp-inc"/>
      <w:r>
        <w:t xml:space="preserve">HILLCREST MHP INC</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hillcrest-mhp-inc---vt0005057"/>
      <w:r>
        <w:t xml:space="preserve">HILLCREST MHP INC - VT0005057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LAKE CHAMPLAIN VIA COLCH FD #3 VIA CWD</w:t>
            </w:r>
          </w:p>
        </w:tc>
        <w:tc>
          <w:p>
            <w:pPr>
              <w:pStyle w:val="Compact"/>
              <w:jc w:val="left"/>
            </w:pPr>
            <w:r>
              <w:t xml:space="preserve">Surface Water</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Buyer</w:t>
            </w:r>
          </w:p>
        </w:tc>
        <w:tc>
          <w:tcPr>
            <w:tcBorders>
              <w:bottom w:val="single"/>
            </w:tcBorders>
            <w:vAlign w:val="bottom"/>
          </w:tcPr>
          <w:p>
            <w:pPr>
              <w:pStyle w:val="Compact"/>
              <w:jc w:val="left"/>
            </w:pPr>
            <w:r>
              <w:t xml:space="preserve">Seller</w:t>
            </w:r>
          </w:p>
        </w:tc>
      </w:tr>
      <w:tr>
        <w:tc>
          <w:p>
            <w:pPr>
              <w:pStyle w:val="Compact"/>
              <w:jc w:val="left"/>
            </w:pPr>
            <w:r>
              <w:t xml:space="preserve">COLCHESTER FIRE DISTRICT 3</w:t>
            </w:r>
          </w:p>
        </w:tc>
        <w:tc>
          <w:p>
            <w:pPr>
              <w:pStyle w:val="Compact"/>
              <w:jc w:val="left"/>
            </w:pPr>
            <w:r>
              <w:t xml:space="preserve">CHAMPLAIN WATER DISTRICT</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hillcrest-mhp-inc"/>
      <w:r>
        <w:t xml:space="preserve">Detected Contaminants HILLCREST MHP INC</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0.15</w:t>
            </w:r>
          </w:p>
        </w:tc>
        <w:tc>
          <w:p>
            <w:pPr>
              <w:pStyle w:val="Compact"/>
              <w:jc w:val="left"/>
            </w:pPr>
            <w:r>
              <w:t xml:space="preserve">0.000 - 0.200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2022</w:t>
            </w:r>
          </w:p>
        </w:tc>
        <w:tc>
          <w:p>
            <w:pPr>
              <w:pStyle w:val="Compact"/>
              <w:jc w:val="left"/>
            </w:pPr>
            <w:r>
              <w:t xml:space="preserve">29</w:t>
            </w:r>
          </w:p>
        </w:tc>
        <w:tc>
          <w:p>
            <w:pPr>
              <w:pStyle w:val="Compact"/>
              <w:jc w:val="left"/>
            </w:pPr>
            <w:r>
              <w:t xml:space="preserve">29 - 29</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08/31/2023 - 09/12/2023</w:t>
            </w:r>
          </w:p>
        </w:tc>
        <w:tc>
          <w:p>
            <w:pPr>
              <w:pStyle w:val="Compact"/>
              <w:jc w:val="left"/>
            </w:pPr>
            <w:r>
              <w:t xml:space="preserve">0</w:t>
            </w:r>
          </w:p>
        </w:tc>
        <w:tc>
          <w:p>
            <w:pPr>
              <w:pStyle w:val="Compact"/>
              <w:jc w:val="left"/>
            </w:pPr>
            <w:r>
              <w:t xml:space="preserve">0 - 3.8</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08/31/2023 - 09/12/2023</w:t>
            </w:r>
          </w:p>
        </w:tc>
        <w:tc>
          <w:p>
            <w:pPr>
              <w:pStyle w:val="Compact"/>
              <w:jc w:val="left"/>
            </w:pPr>
            <w:r>
              <w:t xml:space="preserve">0.022</w:t>
            </w:r>
          </w:p>
        </w:tc>
        <w:tc>
          <w:p>
            <w:pPr>
              <w:pStyle w:val="Compact"/>
              <w:jc w:val="left"/>
            </w:pPr>
            <w:r>
              <w:t xml:space="preserve">0 - 0.023</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(DBP), MAJOR</w:t>
            </w:r>
          </w:p>
        </w:tc>
        <w:tc>
          <w:p>
            <w:pPr>
              <w:pStyle w:val="Compact"/>
              <w:jc w:val="left"/>
            </w:pPr>
            <w:r>
              <w:t xml:space="preserve">Failure to Monitor</w:t>
            </w:r>
          </w:p>
        </w:tc>
        <w:tc>
          <w:p>
            <w:pPr>
              <w:pStyle w:val="Compact"/>
              <w:jc w:val="left"/>
            </w:pPr>
            <w:r>
              <w:t xml:space="preserve">Disinfection Byproducts</w:t>
            </w:r>
          </w:p>
        </w:tc>
        <w:tc>
          <w:p>
            <w:pPr>
              <w:pStyle w:val="Compact"/>
              <w:jc w:val="left"/>
            </w:pPr>
            <w:r>
              <w:t xml:space="preserve">01/01/2023 - 12/31/2023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HILLCREST MHP INC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2024-03-22T14:22:00Z</dcterms:created>
  <dcterms:modified xsi:type="dcterms:W3CDTF">2024-03-22T14:22:00Z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