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2b71e4bf38746805279467b4f29f81061742d31"/>
      <w:r>
        <w:t xml:space="preserve">VT0005056 Consumer Confidence Report Certificate of Delivery 2025</w:t>
      </w:r>
      <w:bookmarkEnd w:id="20"/>
    </w:p>
    <w:p>
      <w:pPr>
        <w:pStyle w:val="Heading6"/>
      </w:pPr>
      <w:bookmarkStart w:id="21" w:name="pine-ridge-water-system"/>
      <w:r>
        <w:t xml:space="preserve">PINE RIDGE WATER SYSTEM</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pine-ridge-water-system---vt0005056"/>
      <w:r>
        <w:t xml:space="preserve">PINE RIDGE WATER SYSTEM - VT0005056</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3a0cdfb68425438522844aa737f3745b7bac0da"/>
      <w:r>
        <w:t xml:space="preserve">Detected Contaminants PINE RIDGE WATER SYSTEM</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0.306</w:t>
            </w:r>
          </w:p>
        </w:tc>
        <w:tc>
          <w:p>
            <w:pPr>
              <w:pStyle w:val="Compact"/>
              <w:jc w:val="left"/>
            </w:pPr>
            <w:r>
              <w:t xml:space="preserve">0.030 - 0.400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Barium</w:t>
            </w:r>
          </w:p>
        </w:tc>
        <w:tc>
          <w:p>
            <w:pPr>
              <w:pStyle w:val="Compact"/>
              <w:jc w:val="left"/>
            </w:pPr>
            <w:r>
              <w:t xml:space="preserve">11/30/2022</w:t>
            </w:r>
          </w:p>
        </w:tc>
        <w:tc>
          <w:p>
            <w:pPr>
              <w:pStyle w:val="Compact"/>
              <w:jc w:val="left"/>
            </w:pPr>
            <w:r>
              <w:t xml:space="preserve">0.22</w:t>
            </w:r>
          </w:p>
        </w:tc>
        <w:tc>
          <w:p>
            <w:pPr>
              <w:pStyle w:val="Compact"/>
              <w:jc w:val="left"/>
            </w:pPr>
            <w:r>
              <w:t xml:space="preserve">0.22 - 0.22</w:t>
            </w:r>
          </w:p>
        </w:tc>
        <w:tc>
          <w:p>
            <w:pPr>
              <w:pStyle w:val="Compact"/>
              <w:jc w:val="left"/>
            </w:pPr>
            <w:r>
              <w:t xml:space="preserve">ppm</w:t>
            </w:r>
          </w:p>
        </w:tc>
        <w:tc>
          <w:p>
            <w:pPr>
              <w:pStyle w:val="Compact"/>
              <w:jc w:val="left"/>
            </w:pPr>
            <w:r>
              <w:t xml:space="preserve">2</w:t>
            </w:r>
          </w:p>
        </w:tc>
        <w:tc>
          <w:p>
            <w:pPr>
              <w:pStyle w:val="Compact"/>
              <w:jc w:val="left"/>
            </w:pPr>
            <w:r>
              <w:t xml:space="preserve">2</w:t>
            </w:r>
          </w:p>
        </w:tc>
        <w:tc>
          <w:p>
            <w:pPr>
              <w:pStyle w:val="Compact"/>
              <w:jc w:val="left"/>
            </w:pPr>
            <w:r>
              <w:t xml:space="preserve">Discharge of drilling wastes; Discharge from metal refineries; Erosion of natural deposits</w:t>
            </w:r>
          </w:p>
        </w:tc>
      </w:tr>
      <w:tr>
        <w:tc>
          <w:p>
            <w:pPr>
              <w:pStyle w:val="Compact"/>
              <w:jc w:val="left"/>
            </w:pPr>
            <w:r>
              <w:t xml:space="preserve">Fluoride</w:t>
            </w:r>
          </w:p>
        </w:tc>
        <w:tc>
          <w:p>
            <w:pPr>
              <w:pStyle w:val="Compact"/>
              <w:jc w:val="left"/>
            </w:pPr>
            <w:r>
              <w:t xml:space="preserve">11/30/2022</w:t>
            </w:r>
          </w:p>
        </w:tc>
        <w:tc>
          <w:p>
            <w:pPr>
              <w:pStyle w:val="Compact"/>
              <w:jc w:val="left"/>
            </w:pPr>
            <w:r>
              <w:t xml:space="preserve">0.26</w:t>
            </w:r>
          </w:p>
        </w:tc>
        <w:tc>
          <w:p>
            <w:pPr>
              <w:pStyle w:val="Compact"/>
              <w:jc w:val="left"/>
            </w:pPr>
            <w:r>
              <w:t xml:space="preserve">0.26 - 0.26</w:t>
            </w:r>
          </w:p>
        </w:tc>
        <w:tc>
          <w:p>
            <w:pPr>
              <w:pStyle w:val="Compact"/>
              <w:jc w:val="left"/>
            </w:pPr>
            <w:r>
              <w:t xml:space="preserve">ppm</w:t>
            </w:r>
          </w:p>
        </w:tc>
        <w:tc>
          <w:p>
            <w:pPr>
              <w:pStyle w:val="Compact"/>
              <w:jc w:val="left"/>
            </w:pPr>
            <w:r>
              <w:t xml:space="preserve">4</w:t>
            </w:r>
          </w:p>
        </w:tc>
        <w:tc>
          <w:p>
            <w:pPr>
              <w:pStyle w:val="Compact"/>
              <w:jc w:val="left"/>
            </w:pPr>
            <w:r>
              <w:t xml:space="preserve">4</w:t>
            </w:r>
          </w:p>
        </w:tc>
        <w:tc>
          <w:p>
            <w:pPr>
              <w:pStyle w:val="Compact"/>
              <w:jc w:val="left"/>
            </w:pPr>
            <w:r>
              <w:t xml:space="preserve">Erosion of natural deposits;  Water additive which promotes strong teeth; Discharge from fertilizer and aluminum factories</w:t>
            </w:r>
          </w:p>
        </w:tc>
      </w:tr>
      <w:tr>
        <w:tc>
          <w:p>
            <w:pPr>
              <w:pStyle w:val="Compact"/>
              <w:jc w:val="left"/>
            </w:pPr>
            <w:r>
              <w:t xml:space="preserve">Iron</w:t>
            </w:r>
          </w:p>
        </w:tc>
        <w:tc>
          <w:p>
            <w:pPr>
              <w:pStyle w:val="Compact"/>
              <w:jc w:val="left"/>
            </w:pPr>
            <w:r>
              <w:t xml:space="preserve">11/30/2022</w:t>
            </w:r>
          </w:p>
        </w:tc>
        <w:tc>
          <w:p>
            <w:pPr>
              <w:pStyle w:val="Compact"/>
              <w:jc w:val="left"/>
            </w:pPr>
            <w:r>
              <w:t xml:space="preserve">0.032</w:t>
            </w:r>
          </w:p>
        </w:tc>
        <w:tc>
          <w:p>
            <w:pPr>
              <w:pStyle w:val="Compact"/>
              <w:jc w:val="left"/>
            </w:pPr>
            <w:r>
              <w:t xml:space="preserve">0.032 - 0.032</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11/08/2023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Gross Alpha Particle Activity*</w:t>
            </w:r>
          </w:p>
        </w:tc>
        <w:tc>
          <w:p>
            <w:pPr>
              <w:pStyle w:val="Compact"/>
              <w:jc w:val="left"/>
            </w:pPr>
            <w:r>
              <w:t xml:space="preserve">02/08/2022</w:t>
            </w:r>
          </w:p>
        </w:tc>
        <w:tc>
          <w:p>
            <w:pPr>
              <w:pStyle w:val="Compact"/>
              <w:jc w:val="left"/>
            </w:pPr>
            <w:r>
              <w:t xml:space="preserve">4.4</w:t>
            </w:r>
          </w:p>
        </w:tc>
        <w:tc>
          <w:p>
            <w:pPr>
              <w:pStyle w:val="Compact"/>
              <w:jc w:val="left"/>
            </w:pPr>
            <w:r>
              <w:t xml:space="preserve">4.4 - 4.4</w:t>
            </w:r>
          </w:p>
        </w:tc>
        <w:tc>
          <w:p>
            <w:pPr>
              <w:pStyle w:val="Compact"/>
              <w:jc w:val="left"/>
            </w:pPr>
            <w:r>
              <w:t xml:space="preserve">pCi/L</w:t>
            </w:r>
          </w:p>
        </w:tc>
        <w:tc>
          <w:p>
            <w:pPr>
              <w:pStyle w:val="Compact"/>
              <w:jc w:val="left"/>
            </w:pPr>
            <w:r>
              <w:t xml:space="preserve">NA</w:t>
            </w:r>
          </w:p>
        </w:tc>
        <w:tc>
          <w:p>
            <w:pPr>
              <w:pStyle w:val="Compact"/>
              <w:jc w:val="left"/>
            </w:pPr>
            <w:r>
              <w:t xml:space="preserve">0</w:t>
            </w:r>
          </w:p>
        </w:tc>
        <w:tc>
          <w:p>
            <w:pPr>
              <w:pStyle w:val="Compact"/>
              <w:jc w:val="left"/>
            </w:pPr>
            <w:r>
              <w:t xml:space="preserve">Erosion of natural deposits</w:t>
            </w:r>
          </w:p>
        </w:tc>
      </w:tr>
    </w:tbl>
    <w:p>
      <w:pPr>
        <w:pStyle w:val="BodyText"/>
      </w:pPr>
      <w:r>
        <w:t xml:space="preserve">*Gross Alpha Particle Activity results are unadjusted for other radionuclide contribution, in particular Uranium. The Adjusted Gross Alpha (or AGA) result is then compared to the MCL of 15 pCi/L.</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BLANSHINE RESIDENCE, 66 SUTTON PLACE</w:t>
            </w:r>
          </w:p>
        </w:tc>
        <w:tc>
          <w:p>
            <w:pPr>
              <w:pStyle w:val="Compact"/>
              <w:jc w:val="left"/>
            </w:pPr>
            <w:r>
              <w:t xml:space="preserve">3</w:t>
            </w:r>
          </w:p>
        </w:tc>
        <w:tc>
          <w:p>
            <w:pPr>
              <w:pStyle w:val="Compact"/>
              <w:jc w:val="left"/>
            </w:pPr>
            <w:r>
              <w:t xml:space="preserve">3 - 3</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06/11/2024</w:t>
            </w:r>
          </w:p>
        </w:tc>
        <w:tc>
          <w:p>
            <w:pPr>
              <w:pStyle w:val="Compact"/>
              <w:jc w:val="left"/>
            </w:pPr>
            <w:r>
              <w:t xml:space="preserve">0.5</w:t>
            </w:r>
          </w:p>
        </w:tc>
        <w:tc>
          <w:p>
            <w:pPr>
              <w:pStyle w:val="Compact"/>
              <w:jc w:val="left"/>
            </w:pPr>
            <w:r>
              <w:t xml:space="preserve">0 - 1</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06/11/2024</w:t>
            </w:r>
          </w:p>
        </w:tc>
        <w:tc>
          <w:p>
            <w:pPr>
              <w:pStyle w:val="Compact"/>
              <w:jc w:val="left"/>
            </w:pPr>
            <w:r>
              <w:t xml:space="preserve">0.12</w:t>
            </w:r>
          </w:p>
        </w:tc>
        <w:tc>
          <w:p>
            <w:pPr>
              <w:pStyle w:val="Compact"/>
              <w:jc w:val="left"/>
            </w:pPr>
            <w:r>
              <w:t xml:space="preserve">0 - 0.18</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violations-that-occurred-during-the-year"/>
      <w:r>
        <w:t xml:space="preserve">Violation(s) that occurred during the year</w:t>
      </w:r>
      <w:bookmarkEnd w:id="33"/>
    </w:p>
    <w:p>
      <w:pPr>
        <w:pStyle w:val="FirstParagraph"/>
      </w:pPr>
      <w:r>
        <w:rPr>
          <w:i/>
        </w:rPr>
        <w:t xml:space="preserve">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Category</w:t>
            </w:r>
          </w:p>
        </w:tc>
        <w:tc>
          <w:tcPr>
            <w:tcBorders>
              <w:bottom w:val="single"/>
            </w:tcBorders>
            <w:vAlign w:val="bottom"/>
          </w:tcPr>
          <w:p>
            <w:pPr>
              <w:pStyle w:val="Compact"/>
              <w:jc w:val="left"/>
            </w:pPr>
            <w:r>
              <w:t xml:space="preserve">Analyte</w:t>
            </w:r>
          </w:p>
        </w:tc>
        <w:tc>
          <w:tcPr>
            <w:tcBorders>
              <w:bottom w:val="single"/>
            </w:tcBorders>
            <w:vAlign w:val="bottom"/>
          </w:tcPr>
          <w:p>
            <w:pPr>
              <w:pStyle w:val="Compact"/>
              <w:jc w:val="left"/>
            </w:pPr>
            <w:r>
              <w:t xml:space="preserve">Compliance Period</w:t>
            </w:r>
          </w:p>
        </w:tc>
      </w:tr>
      <w:tr>
        <w:tc>
          <w:p>
            <w:pPr>
              <w:pStyle w:val="Compact"/>
              <w:jc w:val="left"/>
            </w:pPr>
            <w:r>
              <w:t xml:space="preserve">STATE MONITORING/REPORTING VIOLATION</w:t>
            </w:r>
          </w:p>
        </w:tc>
        <w:tc>
          <w:p>
            <w:pPr>
              <w:pStyle w:val="Compact"/>
              <w:jc w:val="left"/>
            </w:pPr>
            <w:r>
              <w:t xml:space="preserve">Failure to Monitor</w:t>
            </w:r>
          </w:p>
        </w:tc>
        <w:tc>
          <w:p>
            <w:pPr>
              <w:pStyle w:val="Compact"/>
              <w:jc w:val="left"/>
            </w:pPr>
            <w:r>
              <w:t xml:space="preserve">Secondaries</w:t>
            </w:r>
          </w:p>
        </w:tc>
        <w:tc>
          <w:p>
            <w:pPr>
              <w:pStyle w:val="Compact"/>
              <w:jc w:val="left"/>
            </w:pPr>
            <w:r>
              <w:t xml:space="preserve">10/01/2025 - 12/31/2025</w:t>
            </w:r>
          </w:p>
        </w:tc>
      </w:tr>
    </w:tbl>
    <w:p>
      <w:pPr>
        <w:pStyle w:val="BodyText"/>
      </w:pPr>
    </w:p>
    <w:p>
      <w:pPr>
        <w:pStyle w:val="BodyText"/>
      </w:pPr>
      <w:r>
        <w:rPr>
          <w:b/>
        </w:rPr>
        <w:t xml:space="preserve">To be Completed by the Water System.</w:t>
      </w:r>
      <w:r>
        <w:t xml:space="preserve"> </w:t>
      </w:r>
      <w:r>
        <w:rPr>
          <w:i/>
        </w:rPr>
        <w:t xml:space="preserve">List any steps taken to correct the violations listed above:</w:t>
      </w:r>
      <w:r>
        <w:rPr>
          <w:i/>
        </w:rPr>
        <w:t xml:space="preserve"> </w:t>
      </w:r>
      <w:r>
        <w:br/>
      </w:r>
    </w:p>
    <w:p>
      <w:pPr>
        <w:pStyle w:val="BodyText"/>
      </w:pPr>
    </w:p>
    <w:p>
      <w:pPr>
        <w:pStyle w:val="Heading2"/>
      </w:pPr>
      <w:bookmarkStart w:id="34" w:name="X4211a9856e6fc1f1789674f6a55bd9cdd022713"/>
      <w:r>
        <w:t xml:space="preserve">Health Information Regarding Drinking Water</w:t>
      </w:r>
      <w:bookmarkEnd w:id="34"/>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PINE RIDGE WATER SYSTEM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PINE RIDGE WATER SYSTEM. Information on lead in drinking water, testing methods, and steps you can take to minimize exposure is available at</w:t>
      </w:r>
      <w:r>
        <w:t xml:space="preserve"> </w:t>
      </w:r>
      <w:hyperlink r:id="rId35">
        <w:r>
          <w:rPr>
            <w:rStyle w:val="Hyperlink"/>
          </w:rPr>
          <w:t xml:space="preserve">https://www.epa.gov/safewater/lead</w:t>
        </w:r>
      </w:hyperlink>
      <w:r>
        <w:t xml:space="preserve">.</w:t>
      </w:r>
    </w:p>
    <w:p>
      <w:pPr>
        <w:pStyle w:val="Heading2"/>
      </w:pPr>
      <w:bookmarkStart w:id="36" w:name="section-2"/>
      <w:bookmarkEnd w:id="36"/>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2026-03-10T13:23:47Z</dcterms:created>
  <dcterms:modified xsi:type="dcterms:W3CDTF">2026-03-10T13:23:47Z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