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ccb71ba57d9f371c4388e8443c039ac26afeede"/>
      <w:r>
        <w:t xml:space="preserve">VT0000196 Consumer Confidence Report Certificate of Delivery 2024</w:t>
      </w:r>
      <w:bookmarkEnd w:id="20"/>
    </w:p>
    <w:p>
      <w:pPr>
        <w:pStyle w:val="Heading6"/>
      </w:pPr>
      <w:bookmarkStart w:id="21" w:name="vista-senior-living"/>
      <w:r>
        <w:t xml:space="preserve">VISTA SENIOR LIVING</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vista-senior-living---vt0000196"/>
      <w:r>
        <w:t xml:space="preserve">VISTA SENIOR LIVING - VT0000196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NEW WELL P-1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514ba861ff6e07c9836e51a2583c067c84f033"/>
      <w:r>
        <w:t xml:space="preserve">Detected Contaminants VISTA SENIOR LIVING</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1.4</w:t>
            </w:r>
          </w:p>
        </w:tc>
        <w:tc>
          <w:p>
            <w:pPr>
              <w:pStyle w:val="Compact"/>
              <w:jc w:val="left"/>
            </w:pPr>
            <w:r>
              <w:t xml:space="preserve">1.400 - 1.400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03/13/2024</w:t>
            </w:r>
          </w:p>
        </w:tc>
        <w:tc>
          <w:p>
            <w:pPr>
              <w:pStyle w:val="Compact"/>
              <w:jc w:val="left"/>
            </w:pPr>
            <w:r>
              <w:t xml:space="preserve">0.1</w:t>
            </w:r>
          </w:p>
        </w:tc>
        <w:tc>
          <w:p>
            <w:pPr>
              <w:pStyle w:val="Compact"/>
              <w:jc w:val="left"/>
            </w:pPr>
            <w:r>
              <w:t xml:space="preserve">0.1 - 0.1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04/11/2023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03/31/2021</w:t>
            </w:r>
          </w:p>
        </w:tc>
        <w:tc>
          <w:p>
            <w:pPr>
              <w:pStyle w:val="Compact"/>
              <w:jc w:val="left"/>
            </w:pPr>
            <w:r>
              <w:t xml:space="preserve">2.16</w:t>
            </w:r>
          </w:p>
        </w:tc>
        <w:tc>
          <w:p>
            <w:pPr>
              <w:pStyle w:val="Compact"/>
              <w:jc w:val="left"/>
            </w:pPr>
            <w:r>
              <w:t xml:space="preserve">2.16 - 2.16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03/31/2021</w:t>
            </w:r>
          </w:p>
        </w:tc>
        <w:tc>
          <w:p>
            <w:pPr>
              <w:pStyle w:val="Compact"/>
              <w:jc w:val="left"/>
            </w:pPr>
            <w:r>
              <w:t xml:space="preserve">1.27</w:t>
            </w:r>
          </w:p>
        </w:tc>
        <w:tc>
          <w:p>
            <w:pPr>
              <w:pStyle w:val="Compact"/>
              <w:jc w:val="left"/>
            </w:pPr>
            <w:r>
              <w:t xml:space="preserve">1.27 - 1.27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03/31/2021</w:t>
            </w:r>
          </w:p>
        </w:tc>
        <w:tc>
          <w:p>
            <w:pPr>
              <w:pStyle w:val="Compact"/>
              <w:jc w:val="left"/>
            </w:pPr>
            <w:r>
              <w:t xml:space="preserve">0.891</w:t>
            </w:r>
          </w:p>
        </w:tc>
        <w:tc>
          <w:p>
            <w:pPr>
              <w:pStyle w:val="Compact"/>
              <w:jc w:val="left"/>
            </w:pPr>
            <w:r>
              <w:t xml:space="preserve">0.891 - 0.891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ROOM 204</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09/30/2024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09/30/2024</w:t>
            </w:r>
          </w:p>
        </w:tc>
        <w:tc>
          <w:p>
            <w:pPr>
              <w:pStyle w:val="Compact"/>
              <w:jc w:val="left"/>
            </w:pPr>
            <w:r>
              <w:t xml:space="preserve">0.041</w:t>
            </w:r>
          </w:p>
        </w:tc>
        <w:tc>
          <w:p>
            <w:pPr>
              <w:pStyle w:val="Compact"/>
              <w:jc w:val="left"/>
            </w:pPr>
            <w:r>
              <w:t xml:space="preserve">0.026 - 0.05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07/01/2024 - 10/16/2024</w:t>
            </w:r>
          </w:p>
        </w:tc>
      </w:tr>
      <w:tr>
        <w:tc>
          <w:p>
            <w:pPr>
              <w:pStyle w:val="Compact"/>
              <w:jc w:val="left"/>
            </w:pPr>
            <w:r>
              <w:t xml:space="preserve">MONITOR GWR TRIGGERED/ADDITONAL, MAJOR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07/07/2024 - 07/31/2024</w:t>
            </w:r>
          </w:p>
        </w:tc>
      </w:tr>
      <w:tr>
        <w:tc>
          <w:p>
            <w:pPr>
              <w:pStyle w:val="Compact"/>
              <w:jc w:val="left"/>
            </w:pPr>
            <w:r>
              <w:t xml:space="preserve">LEAD CONSUMER NOTICE (LCR)</w:t>
            </w:r>
          </w:p>
        </w:tc>
        <w:tc>
          <w:p>
            <w:pPr>
              <w:pStyle w:val="Compact"/>
              <w:jc w:val="left"/>
            </w:pPr>
            <w:r>
              <w:t xml:space="preserve">Failure to Report</w:t>
            </w:r>
          </w:p>
        </w:tc>
        <w:tc>
          <w:p>
            <w:pPr>
              <w:pStyle w:val="Compact"/>
              <w:jc w:val="left"/>
            </w:pPr>
            <w:r>
              <w:t xml:space="preserve">LEAD &amp; COPPER RULE</w:t>
            </w:r>
          </w:p>
        </w:tc>
        <w:tc>
          <w:p>
            <w:pPr>
              <w:pStyle w:val="Compact"/>
              <w:jc w:val="left"/>
            </w:pPr>
            <w:r>
              <w:t xml:space="preserve">12/30/2024 -</w:t>
            </w:r>
          </w:p>
        </w:tc>
      </w:tr>
      <w:tr>
        <w:tc>
          <w:p>
            <w:pPr>
              <w:pStyle w:val="Compact"/>
              <w:jc w:val="left"/>
            </w:pPr>
            <w:r>
              <w:t xml:space="preserve">LEVEL 1 ASSESS, MULTIPLE TC POS (RTCR)</w:t>
            </w:r>
          </w:p>
        </w:tc>
        <w:tc>
          <w:p>
            <w:pPr>
              <w:pStyle w:val="Compact"/>
              <w:jc w:val="left"/>
            </w:pPr>
            <w:r>
              <w:t xml:space="preserve">Treatment Technique Violation</w:t>
            </w:r>
          </w:p>
        </w:tc>
        <w:tc>
          <w:p>
            <w:pPr>
              <w:pStyle w:val="Compact"/>
              <w:jc w:val="left"/>
            </w:pPr>
            <w:r>
              <w:t xml:space="preserve">REVISED TOTAL COLIFORM RULE (RTCR)</w:t>
            </w:r>
          </w:p>
        </w:tc>
        <w:tc>
          <w:p>
            <w:pPr>
              <w:pStyle w:val="Compact"/>
              <w:jc w:val="left"/>
            </w:pPr>
            <w:r>
              <w:t xml:space="preserve">09/05/2024 -</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07/01/2024 - 07/31/2024</w:t>
            </w:r>
          </w:p>
        </w:tc>
      </w:tr>
    </w:tbl>
    <w:p>
      <w:pPr>
        <w:pStyle w:val="BodyText"/>
      </w:pPr>
    </w:p>
    <w:p>
      <w:pPr>
        <w:pStyle w:val="Heading2"/>
      </w:pPr>
      <w:bookmarkStart w:id="34" w:name="X32505481b2681ff70418abdb3484d20b9dbe646"/>
      <w:r>
        <w:t xml:space="preserve">Revised Total Coliform Rule (RTCR) TT Violation(s)</w:t>
      </w:r>
      <w:bookmarkEnd w:id="34"/>
    </w:p>
    <w:p>
      <w:pPr>
        <w:pStyle w:val="FirstParagraph"/>
      </w:pPr>
      <w:r>
        <w:br/>
      </w:r>
      <w:r>
        <w:rPr>
          <w:i/>
        </w:rPr>
        <w:t xml:space="preserve">During the past year we failed to conduct all the required assessments.</w:t>
      </w:r>
      <w:r>
        <w:br/>
      </w: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5" w:name="level-1-assessment"/>
      <w:r>
        <w:t xml:space="preserve">Level 1 Assessment</w:t>
      </w:r>
      <w:bookmarkEnd w:id="35"/>
    </w:p>
    <w:p>
      <w:pPr>
        <w:pStyle w:val="FirstParagraph"/>
      </w:pPr>
      <w:r>
        <w:t xml:space="preserve">Because we found coliforms during sampling, we were required to conduct an assessment of the system, also known as a Level 1 assessment, to identify possible sources of contamination. zero Level 1 Assessment was completed. In addition, we were required to take [INSERT NUMBER OF CORRECTIVE ACTIONS] corrective actions and we completed [INSERT NUMBER OF CORRECTIVE ACTIONS] of these actions.</w:t>
      </w:r>
      <w:r>
        <w:br/>
      </w:r>
    </w:p>
    <w:p>
      <w:pPr>
        <w:pStyle w:val="Heading2"/>
      </w:pPr>
      <w:bookmarkStart w:id="36" w:name="X4211a9856e6fc1f1789674f6a55bd9cdd022713"/>
      <w:r>
        <w:t xml:space="preserve">Health Information Regarding Drinking Water</w:t>
      </w:r>
      <w:bookmarkEnd w:id="36"/>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7">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VISTA SENIOR LIVING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VISTA SENIOR LIVING. Information on lead in drinking water, testing methods, and steps you can take to minimize exposure is available at</w:t>
      </w:r>
      <w:r>
        <w:t xml:space="preserve"> </w:t>
      </w:r>
      <w:hyperlink r:id="rId37">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8" w:name="section-2"/>
      <w:bookmarkEnd w:id="38"/>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7"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7"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2025-03-18T10:12:07Z</dcterms:created>
  <dcterms:modified xsi:type="dcterms:W3CDTF">2025-03-18T10:12:07Z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