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25FF6E" w14:textId="30E50390" w:rsidR="00B11968" w:rsidRDefault="00B11968" w:rsidP="00B11968">
      <w:pPr>
        <w:spacing w:before="100" w:beforeAutospacing="1" w:after="100" w:afterAutospacing="1"/>
        <w:rPr>
          <w:rFonts w:ascii="Segoe UI Bold" w:eastAsia="Times New Roman" w:hAnsi="Segoe UI Bold"/>
          <w:b/>
          <w:bCs/>
          <w:color w:val="000000"/>
          <w:sz w:val="24"/>
          <w:szCs w:val="24"/>
        </w:rPr>
      </w:pPr>
      <w:r>
        <w:rPr>
          <w:rFonts w:ascii="Segoe UI Bold" w:eastAsia="Times New Roman" w:hAnsi="Segoe UI Bold"/>
          <w:b/>
          <w:bCs/>
          <w:color w:val="000000"/>
          <w:sz w:val="24"/>
          <w:szCs w:val="24"/>
        </w:rPr>
        <w:t>Required to be added to the Contract Documents Special Conditions</w:t>
      </w:r>
      <w:r w:rsidR="005007F6">
        <w:rPr>
          <w:rFonts w:ascii="Segoe UI Bold" w:eastAsia="Times New Roman" w:hAnsi="Segoe UI Bold"/>
          <w:b/>
          <w:bCs/>
          <w:color w:val="000000"/>
          <w:sz w:val="24"/>
          <w:szCs w:val="24"/>
        </w:rPr>
        <w:t>:</w:t>
      </w:r>
    </w:p>
    <w:p w14:paraId="0B7FFDA0" w14:textId="77777777" w:rsidR="00B11968" w:rsidRDefault="00B11968" w:rsidP="00B11968">
      <w:pPr>
        <w:spacing w:before="100" w:beforeAutospacing="1" w:after="100" w:afterAutospacing="1"/>
        <w:rPr>
          <w:rFonts w:ascii="Segoe UI Bold" w:eastAsia="Times New Roman" w:hAnsi="Segoe UI Bold"/>
          <w:b/>
          <w:bCs/>
          <w:color w:val="000000"/>
          <w:sz w:val="24"/>
          <w:szCs w:val="24"/>
        </w:rPr>
      </w:pPr>
    </w:p>
    <w:p w14:paraId="37C5B6E7" w14:textId="1EC52097" w:rsidR="00B11968" w:rsidRDefault="00B11968" w:rsidP="00B11968">
      <w:pPr>
        <w:spacing w:before="100" w:beforeAutospacing="1" w:after="100" w:afterAutospacing="1"/>
        <w:rPr>
          <w:rFonts w:eastAsia="Times New Roman"/>
          <w:color w:val="000000"/>
          <w:sz w:val="24"/>
          <w:szCs w:val="24"/>
        </w:rPr>
      </w:pPr>
      <w:r>
        <w:rPr>
          <w:rFonts w:ascii="Segoe UI Bold" w:eastAsia="Times New Roman" w:hAnsi="Segoe UI Bold"/>
          <w:b/>
          <w:bCs/>
          <w:color w:val="000000"/>
          <w:sz w:val="24"/>
          <w:szCs w:val="24"/>
        </w:rPr>
        <w:t>Prohibition on Certain Telecommunications and Video Surveillance Services or Equipment</w:t>
      </w:r>
      <w:r>
        <w:rPr>
          <w:rFonts w:eastAsia="Times New Roman"/>
          <w:color w:val="000000"/>
          <w:sz w:val="24"/>
          <w:szCs w:val="24"/>
        </w:rPr>
        <w:t xml:space="preserve"> </w:t>
      </w:r>
      <w:r>
        <w:rPr>
          <w:rFonts w:eastAsia="Times New Roman"/>
          <w:color w:val="000000"/>
          <w:sz w:val="24"/>
          <w:szCs w:val="24"/>
        </w:rPr>
        <w:br/>
        <w:t xml:space="preserve">This term and condition implements 2 CFR 200.216 and is effective for obligations and expenditures of EPA financial assistance funding on or after 8/13/2020. As required by 2 CFR 200.216, EPA recipients and subrecipients, including borrowers under EPA funded revolving loan fund programs, are prohibited from obligating or expending loan or grant funds to procure or obtain; extend or renew a contract to procure or obtain; or enter into a contract (or extend or renew a contract) to procure or obtain equipment, services, or systems that use covered telecommunications equipment or services as a substantial or essential component of any system, or as critical technology as part of any system. As described in Public Law 115-232, section 889, covered telecommunications equipment is telecommunications equipment produced by Huawei Technologies Company or ZTE Corporation (or any subsidiary or affiliate of such entities). Recipients, subrecipients, and borrowers also may not use EPA funds to </w:t>
      </w:r>
      <w:proofErr w:type="gramStart"/>
      <w:r>
        <w:rPr>
          <w:rFonts w:eastAsia="Times New Roman"/>
          <w:color w:val="000000"/>
          <w:sz w:val="24"/>
          <w:szCs w:val="24"/>
        </w:rPr>
        <w:t>purchase:</w:t>
      </w:r>
      <w:proofErr w:type="gramEnd"/>
      <w:r>
        <w:rPr>
          <w:rFonts w:eastAsia="Times New Roman"/>
          <w:color w:val="000000"/>
          <w:sz w:val="24"/>
          <w:szCs w:val="24"/>
        </w:rPr>
        <w:t xml:space="preserve"> a. </w:t>
      </w:r>
      <w:proofErr w:type="gramStart"/>
      <w:r>
        <w:rPr>
          <w:rFonts w:eastAsia="Times New Roman"/>
          <w:color w:val="000000"/>
          <w:sz w:val="24"/>
          <w:szCs w:val="24"/>
        </w:rPr>
        <w:t>For the purpose of</w:t>
      </w:r>
      <w:proofErr w:type="gramEnd"/>
      <w:r>
        <w:rPr>
          <w:rFonts w:eastAsia="Times New Roman"/>
          <w:color w:val="000000"/>
          <w:sz w:val="24"/>
          <w:szCs w:val="24"/>
        </w:rPr>
        <w:t xml:space="preserve"> public safety, security of government facilities, physical security surveillance of critical Page 4 of 29 infrastructure, and other national security purposes, video surveillance and telecommunications equipment produced by Hytera Communications Corporation, Hangzhou Hikvision Digital Technology Company, or Dahua Technology Company (or any subsidiary or affiliate of such entities). b. Telecommunications or video surveillance services provided by such entities or using such equipment. c. 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 Consistent with 2 CFR 200.471, costs incurred for telecommunications and video surveillance services or equipment such as phones, internet, video surveillance, and cloud servers are allowable except for the following circumstances: a. Obligating or expending EPA funds for covered telecommunications and video surveillance services or equipment or services as described in 2 CFR 200.216 to: (1) Procure or obtain, extend or renew a contract to procure or obtain; (2) Enter into a contract (or extend or renew a contract) to procure; or (3) Obtain the equipment, services, or systems. Certain prohibited equipment, systems, or services, including equipment, systems, or services produced or provided by entities identified in section 889, are recorded in the System for Award Management exclusion list.</w:t>
      </w:r>
    </w:p>
    <w:p w14:paraId="370682A7" w14:textId="77777777" w:rsidR="00340792" w:rsidRDefault="00340792"/>
    <w:sectPr w:rsidR="0034079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Bold">
    <w:panose1 w:val="020B0802040204020203"/>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EB553BF"/>
    <w:multiLevelType w:val="multilevel"/>
    <w:tmpl w:val="F7ECA66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1968"/>
    <w:rsid w:val="00340792"/>
    <w:rsid w:val="005007F6"/>
    <w:rsid w:val="00B119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B0802"/>
  <w15:chartTrackingRefBased/>
  <w15:docId w15:val="{00D15FA4-CE78-424C-A260-7C6679A6D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1968"/>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9584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426</Words>
  <Characters>2431</Characters>
  <Application>Microsoft Office Word</Application>
  <DocSecurity>0</DocSecurity>
  <Lines>20</Lines>
  <Paragraphs>5</Paragraphs>
  <ScaleCrop>false</ScaleCrop>
  <Company/>
  <LinksUpToDate>false</LinksUpToDate>
  <CharactersWithSpaces>2852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Claudon, Lynnette</dc:creator>
  <cp:keywords/>
  <dc:description/>
  <cp:lastModifiedBy>Claudon, Lynnette</cp:lastModifiedBy>
  <cp:revision>2</cp:revision>
  <dcterms:created xsi:type="dcterms:W3CDTF">2021-02-10T16:33:00Z</dcterms:created>
  <dcterms:modified xsi:type="dcterms:W3CDTF">2021-02-10T16:35:00Z</dcterms:modified>
</cp:coreProperties>
</file>